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147" w:rsidRPr="00BB3EA6" w:rsidRDefault="00054147" w:rsidP="00054147">
      <w:pPr>
        <w:spacing w:after="240"/>
        <w:rPr>
          <w:i/>
          <w:sz w:val="18"/>
          <w:szCs w:val="18"/>
        </w:rPr>
      </w:pPr>
      <w:r>
        <w:rPr>
          <w:i/>
          <w:sz w:val="18"/>
          <w:szCs w:val="18"/>
        </w:rPr>
        <w:t xml:space="preserve">Physics &gt; Big idea PMA: Matter &gt; Topic PMA4: </w:t>
      </w:r>
      <w:r w:rsidR="00E90F1D">
        <w:rPr>
          <w:i/>
          <w:sz w:val="18"/>
          <w:szCs w:val="18"/>
        </w:rPr>
        <w:t>Particle explanations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8E1A80">
        <w:trPr>
          <w:trHeight w:val="321"/>
        </w:trPr>
        <w:tc>
          <w:tcPr>
            <w:tcW w:w="16982"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bookmarkStart w:id="0" w:name="_GoBack"/>
        <w:bookmarkEnd w:id="0"/>
      </w:tr>
      <w:tr w:rsidR="006F3279" w:rsidTr="008E1A80">
        <w:trPr>
          <w:trHeight w:val="362"/>
        </w:trPr>
        <w:tc>
          <w:tcPr>
            <w:tcW w:w="16982" w:type="dxa"/>
            <w:shd w:val="clear" w:color="auto" w:fill="CCC0D9" w:themeFill="accent4" w:themeFillTint="66"/>
          </w:tcPr>
          <w:p w:rsidR="006F3279" w:rsidRPr="00CA4B46" w:rsidRDefault="00054147" w:rsidP="00054147">
            <w:pPr>
              <w:spacing w:after="60"/>
              <w:ind w:left="1304"/>
              <w:rPr>
                <w:b/>
                <w:sz w:val="40"/>
                <w:szCs w:val="40"/>
              </w:rPr>
            </w:pPr>
            <w:r>
              <w:rPr>
                <w:b/>
                <w:sz w:val="40"/>
                <w:szCs w:val="40"/>
              </w:rPr>
              <w:t>P</w:t>
            </w:r>
            <w:r w:rsidR="000F24DA">
              <w:rPr>
                <w:b/>
                <w:sz w:val="40"/>
                <w:szCs w:val="40"/>
              </w:rPr>
              <w:t>MA4.</w:t>
            </w:r>
            <w:r>
              <w:rPr>
                <w:b/>
                <w:sz w:val="40"/>
                <w:szCs w:val="40"/>
              </w:rPr>
              <w:t>1</w:t>
            </w:r>
            <w:r w:rsidR="00821188">
              <w:rPr>
                <w:b/>
                <w:sz w:val="40"/>
                <w:szCs w:val="40"/>
              </w:rPr>
              <w:t xml:space="preserve">: </w:t>
            </w:r>
            <w:r>
              <w:rPr>
                <w:b/>
                <w:sz w:val="40"/>
                <w:szCs w:val="40"/>
              </w:rPr>
              <w:t>Density</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054147" w:rsidRPr="00DE5178" w:rsidRDefault="00054147" w:rsidP="00054147">
      <w:pPr>
        <w:spacing w:after="180"/>
      </w:pPr>
      <w:r w:rsidRPr="00B31C39">
        <w:t>A big idea in physics is matter. Matter is a more formal word for ‘stuff’. Anything that can be stored in a container, or weighed, is matter. 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Pr="00284253" w:rsidRDefault="006A01DE" w:rsidP="006A01DE">
      <w:pPr>
        <w:spacing w:after="180"/>
      </w:pPr>
      <w:r>
        <w:t xml:space="preserve">This key concept </w:t>
      </w:r>
      <w:r w:rsidR="00FE427C">
        <w:t xml:space="preserve">helps to </w:t>
      </w:r>
      <w:r>
        <w:t xml:space="preserve">develop the big idea by </w:t>
      </w:r>
      <w:r w:rsidR="00D53B6E">
        <w:t xml:space="preserve">exploring what is really meant by density and by using the particle model to </w:t>
      </w:r>
      <w:r w:rsidR="009C121E">
        <w:t xml:space="preserve">explain fundamentally </w:t>
      </w:r>
      <w:r w:rsidR="00D53B6E">
        <w:t xml:space="preserve">why </w:t>
      </w:r>
      <w:r w:rsidR="00D53B6E" w:rsidRPr="00284253">
        <w:t>different substances and materials have different densities.</w:t>
      </w:r>
    </w:p>
    <w:p w:rsidR="006A01DE" w:rsidRDefault="006A01DE" w:rsidP="006A01DE">
      <w:pPr>
        <w:spacing w:after="180"/>
      </w:pPr>
      <w:r w:rsidRPr="00284253">
        <w:t xml:space="preserve">The conceptual progression starts by checking </w:t>
      </w:r>
      <w:r w:rsidR="00D239A3" w:rsidRPr="00284253">
        <w:t xml:space="preserve">the qualitative </w:t>
      </w:r>
      <w:r w:rsidRPr="00284253">
        <w:t xml:space="preserve">understanding of </w:t>
      </w:r>
      <w:r w:rsidR="00D239A3" w:rsidRPr="00284253">
        <w:t xml:space="preserve">mass, volume and density. This </w:t>
      </w:r>
      <w:r w:rsidR="00284253">
        <w:t xml:space="preserve">understanding </w:t>
      </w:r>
      <w:r w:rsidR="00D239A3" w:rsidRPr="00284253">
        <w:t xml:space="preserve">is developed </w:t>
      </w:r>
      <w:r w:rsidR="00284253" w:rsidRPr="00284253">
        <w:t xml:space="preserve">into a formal definition and equation for density and is used to interpret results of calculations. The particle model is used to develop </w:t>
      </w:r>
      <w:r w:rsidRPr="00284253">
        <w:t xml:space="preserve">understanding of </w:t>
      </w:r>
      <w:r w:rsidR="00284253" w:rsidRPr="00284253">
        <w:t xml:space="preserve">why different substances and materials have different densities in order to explain </w:t>
      </w:r>
      <w:r w:rsidR="00284253">
        <w:t xml:space="preserve">the anomaly of </w:t>
      </w:r>
      <w:r w:rsidR="00284253" w:rsidRPr="00284253">
        <w:t>why ice has a smaller density than water</w:t>
      </w:r>
      <w:r w:rsidRPr="00284253">
        <w:t>.</w:t>
      </w:r>
    </w:p>
    <w:p w:rsidR="00761D32" w:rsidRPr="00B6703E" w:rsidRDefault="007532FE" w:rsidP="00761D32">
      <w:pPr>
        <w:spacing w:after="200" w:line="276" w:lineRule="auto"/>
        <w:rPr>
          <w:b/>
          <w:color w:val="5F497A" w:themeColor="accent4" w:themeShade="BF"/>
          <w:sz w:val="24"/>
          <w:szCs w:val="24"/>
        </w:rPr>
      </w:pPr>
      <w:r w:rsidRPr="00B6703E">
        <w:rPr>
          <w:rFonts w:cstheme="minorHAnsi"/>
          <w:b/>
          <w:noProof/>
          <w:color w:val="FFFFFF" w:themeColor="background1"/>
          <w:sz w:val="24"/>
          <w:szCs w:val="24"/>
          <w:lang w:eastAsia="en-GB"/>
        </w:rPr>
        <w:drawing>
          <wp:anchor distT="0" distB="0" distL="114300" distR="114300" simplePos="0" relativeHeight="251718656" behindDoc="1" locked="0" layoutInCell="1" allowOverlap="1" wp14:anchorId="53127B2F" wp14:editId="070C8B60">
            <wp:simplePos x="0" y="0"/>
            <wp:positionH relativeFrom="margin">
              <wp:align>right</wp:align>
            </wp:positionH>
            <wp:positionV relativeFrom="paragraph">
              <wp:posOffset>55466</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6703E"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054147" w:rsidRDefault="00D40D1E" w:rsidP="00054147">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054147">
        <w:rPr>
          <w:b/>
          <w:color w:val="5F497A" w:themeColor="accent4" w:themeShade="BF"/>
          <w:sz w:val="24"/>
        </w:rPr>
        <w:t>Density</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D25BA7" w:rsidP="00317DF4">
            <w:pPr>
              <w:jc w:val="center"/>
              <w:rPr>
                <w:rFonts w:cstheme="minorHAnsi"/>
                <w:sz w:val="24"/>
                <w:szCs w:val="20"/>
              </w:rPr>
            </w:pPr>
            <w:r>
              <w:rPr>
                <w:rFonts w:cstheme="minorHAnsi"/>
                <w:sz w:val="24"/>
                <w:szCs w:val="20"/>
              </w:rPr>
              <w:t>Density, the</w:t>
            </w:r>
            <w:r w:rsidRPr="00D25BA7">
              <w:rPr>
                <w:rFonts w:cstheme="minorHAnsi"/>
                <w:sz w:val="24"/>
                <w:szCs w:val="20"/>
              </w:rPr>
              <w:t xml:space="preserve"> mass of material in </w:t>
            </w:r>
            <w:r>
              <w:rPr>
                <w:rFonts w:cstheme="minorHAnsi"/>
                <w:sz w:val="24"/>
                <w:szCs w:val="20"/>
              </w:rPr>
              <w:t>1m</w:t>
            </w:r>
            <w:r w:rsidRPr="00D25BA7">
              <w:rPr>
                <w:rFonts w:cstheme="minorHAnsi"/>
                <w:sz w:val="24"/>
                <w:szCs w:val="20"/>
                <w:vertAlign w:val="superscript"/>
              </w:rPr>
              <w:t>3</w:t>
            </w:r>
            <w:r w:rsidRPr="00D25BA7">
              <w:rPr>
                <w:rFonts w:cstheme="minorHAnsi"/>
                <w:sz w:val="24"/>
                <w:szCs w:val="20"/>
              </w:rPr>
              <w:t xml:space="preserve"> or in </w:t>
            </w:r>
            <w:r>
              <w:rPr>
                <w:rFonts w:cstheme="minorHAnsi"/>
                <w:sz w:val="24"/>
                <w:szCs w:val="20"/>
              </w:rPr>
              <w:t>1cm</w:t>
            </w:r>
            <w:r w:rsidRPr="00D25BA7">
              <w:rPr>
                <w:rFonts w:cstheme="minorHAnsi"/>
                <w:sz w:val="24"/>
                <w:szCs w:val="20"/>
                <w:vertAlign w:val="superscript"/>
              </w:rPr>
              <w:t>3</w:t>
            </w:r>
            <w:r>
              <w:rPr>
                <w:rFonts w:cstheme="minorHAnsi"/>
                <w:sz w:val="24"/>
                <w:szCs w:val="20"/>
              </w:rPr>
              <w:t xml:space="preserve">, is </w:t>
            </w:r>
            <w:r w:rsidR="00317DF4">
              <w:rPr>
                <w:rFonts w:cstheme="minorHAnsi"/>
                <w:sz w:val="24"/>
                <w:szCs w:val="20"/>
              </w:rPr>
              <w:t xml:space="preserve">dependent on both the mass of </w:t>
            </w:r>
            <w:r w:rsidR="00F21E41">
              <w:rPr>
                <w:rFonts w:cstheme="minorHAnsi"/>
                <w:sz w:val="24"/>
                <w:szCs w:val="20"/>
              </w:rPr>
              <w:t xml:space="preserve">its </w:t>
            </w:r>
            <w:r w:rsidR="00317DF4">
              <w:rPr>
                <w:rFonts w:cstheme="minorHAnsi"/>
                <w:sz w:val="24"/>
                <w:szCs w:val="20"/>
              </w:rPr>
              <w:t>particles and their spatial arrangement</w:t>
            </w:r>
            <w:r w:rsidRPr="00D25BA7">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E5354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E5354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E1472D" w:rsidP="009B5270">
            <w:pPr>
              <w:spacing w:after="120"/>
              <w:rPr>
                <w:rFonts w:cstheme="minorHAnsi"/>
                <w:sz w:val="20"/>
                <w:szCs w:val="20"/>
              </w:rPr>
            </w:pPr>
            <w:r>
              <w:rPr>
                <w:rFonts w:cstheme="minorHAnsi"/>
                <w:sz w:val="20"/>
                <w:szCs w:val="20"/>
              </w:rPr>
              <w:t xml:space="preserve">Describe characteristics of </w:t>
            </w:r>
            <w:r w:rsidR="00AF182E">
              <w:rPr>
                <w:rFonts w:cstheme="minorHAnsi"/>
                <w:sz w:val="20"/>
                <w:szCs w:val="20"/>
              </w:rPr>
              <w:t>objects or substances</w:t>
            </w:r>
            <w:r>
              <w:rPr>
                <w:rFonts w:cstheme="minorHAnsi"/>
                <w:sz w:val="20"/>
                <w:szCs w:val="20"/>
              </w:rPr>
              <w:t xml:space="preserve"> with high (or low) densities.</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DF7981" w:rsidRDefault="00E1472D" w:rsidP="00DF7981">
            <w:pPr>
              <w:spacing w:after="120"/>
              <w:rPr>
                <w:rFonts w:cstheme="minorHAnsi"/>
                <w:sz w:val="20"/>
                <w:szCs w:val="20"/>
              </w:rPr>
            </w:pPr>
            <w:r>
              <w:rPr>
                <w:rFonts w:cstheme="minorHAnsi"/>
                <w:sz w:val="20"/>
                <w:szCs w:val="20"/>
              </w:rPr>
              <w:t xml:space="preserve">Compare the density of objects that </w:t>
            </w:r>
            <w:r w:rsidR="00DF7981">
              <w:rPr>
                <w:rFonts w:cstheme="minorHAnsi"/>
                <w:sz w:val="20"/>
                <w:szCs w:val="20"/>
              </w:rPr>
              <w:t>differ in</w:t>
            </w:r>
            <w:r>
              <w:rPr>
                <w:rFonts w:cstheme="minorHAnsi"/>
                <w:sz w:val="20"/>
                <w:szCs w:val="20"/>
              </w:rPr>
              <w:t xml:space="preserve"> both mass and volume</w:t>
            </w:r>
            <w:r w:rsidR="00DF7981">
              <w:rPr>
                <w:rFonts w:cstheme="minorHAnsi"/>
                <w:sz w:val="20"/>
                <w:szCs w:val="20"/>
              </w:rPr>
              <w:t>.</w:t>
            </w:r>
          </w:p>
          <w:p w:rsidR="00AF182E" w:rsidRPr="00E675A8" w:rsidRDefault="00AF182E" w:rsidP="00DF7981">
            <w:pPr>
              <w:spacing w:after="120"/>
              <w:rPr>
                <w:rFonts w:cstheme="minorHAnsi"/>
                <w:sz w:val="20"/>
                <w:szCs w:val="20"/>
              </w:rPr>
            </w:pPr>
            <w:r>
              <w:rPr>
                <w:noProof/>
                <w:sz w:val="20"/>
                <w:lang w:eastAsia="en-GB"/>
              </w:rPr>
              <mc:AlternateContent>
                <mc:Choice Requires="wps">
                  <w:drawing>
                    <wp:inline distT="0" distB="0" distL="0" distR="0" wp14:anchorId="0030F889" wp14:editId="71BB4DA0">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AF182E" w:rsidRPr="00620AFF" w:rsidRDefault="00AF182E" w:rsidP="00AF182E">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0030F889" id="Text Box 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miTQ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AF182E" w:rsidRPr="00620AFF" w:rsidRDefault="00AF182E" w:rsidP="00AF182E">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E1472D" w:rsidP="009B5270">
            <w:pPr>
              <w:spacing w:after="120"/>
              <w:rPr>
                <w:rFonts w:cstheme="minorHAnsi"/>
                <w:sz w:val="20"/>
                <w:szCs w:val="20"/>
              </w:rPr>
            </w:pPr>
            <w:r>
              <w:rPr>
                <w:rFonts w:cstheme="minorHAnsi"/>
                <w:sz w:val="20"/>
                <w:szCs w:val="20"/>
              </w:rPr>
              <w:t>Explain the equation ρ=m/V and use it to make calculations.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E1472D" w:rsidP="00E1472D">
            <w:pPr>
              <w:spacing w:after="120"/>
              <w:rPr>
                <w:rFonts w:cstheme="minorHAnsi"/>
                <w:sz w:val="20"/>
                <w:szCs w:val="20"/>
              </w:rPr>
            </w:pPr>
            <w:r>
              <w:rPr>
                <w:rFonts w:cstheme="minorHAnsi"/>
                <w:sz w:val="20"/>
                <w:szCs w:val="20"/>
              </w:rPr>
              <w:t xml:space="preserve">Use the particle model to explain differences in density. </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Pr="000A4D1F" w:rsidRDefault="00D60D9B" w:rsidP="00AF182E">
            <w:pPr>
              <w:pStyle w:val="NoSpacing"/>
              <w:rPr>
                <w:rFonts w:asciiTheme="minorHAnsi" w:hAnsiTheme="minorHAnsi" w:cstheme="minorHAnsi"/>
                <w:sz w:val="20"/>
                <w:szCs w:val="20"/>
              </w:rPr>
            </w:pPr>
            <w:r>
              <w:rPr>
                <w:rFonts w:asciiTheme="minorHAnsi" w:hAnsiTheme="minorHAnsi" w:cstheme="minorHAnsi"/>
                <w:sz w:val="20"/>
                <w:szCs w:val="20"/>
              </w:rPr>
              <w:t xml:space="preserve">Explain </w:t>
            </w:r>
            <w:r w:rsidR="00AF182E">
              <w:rPr>
                <w:rFonts w:asciiTheme="minorHAnsi" w:hAnsiTheme="minorHAnsi" w:cstheme="minorHAnsi"/>
                <w:sz w:val="20"/>
                <w:szCs w:val="20"/>
              </w:rPr>
              <w:t>why</w:t>
            </w:r>
            <w:r>
              <w:rPr>
                <w:rFonts w:asciiTheme="minorHAnsi" w:hAnsiTheme="minorHAnsi" w:cstheme="minorHAnsi"/>
                <w:sz w:val="20"/>
                <w:szCs w:val="20"/>
              </w:rPr>
              <w:t xml:space="preserve"> the density of water in its solid state is less than the density of water in its liquid state.</w:t>
            </w:r>
          </w:p>
        </w:tc>
      </w:tr>
      <w:tr w:rsidR="00761D32" w:rsidRPr="00E675A8" w:rsidTr="000769A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0769A0" w:rsidRPr="00E675A8" w:rsidTr="009C121E">
        <w:trPr>
          <w:trHeight w:val="572"/>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0769A0" w:rsidRPr="003C7537" w:rsidRDefault="000769A0"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769A0" w:rsidRPr="00652431" w:rsidRDefault="000769A0" w:rsidP="000769A0">
            <w:pPr>
              <w:jc w:val="center"/>
              <w:rPr>
                <w:rFonts w:cstheme="minorHAnsi"/>
                <w:sz w:val="20"/>
                <w:szCs w:val="20"/>
              </w:rPr>
            </w:pPr>
            <w:r w:rsidRPr="00652431">
              <w:rPr>
                <w:rFonts w:cstheme="minorHAnsi"/>
                <w:sz w:val="20"/>
                <w:szCs w:val="20"/>
              </w:rPr>
              <w:t>Comparing density</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0769A0" w:rsidRPr="00652431" w:rsidRDefault="000769A0" w:rsidP="000908EB">
            <w:pPr>
              <w:jc w:val="center"/>
              <w:rPr>
                <w:rFonts w:cstheme="minorHAnsi"/>
                <w:sz w:val="20"/>
                <w:szCs w:val="20"/>
              </w:rPr>
            </w:pPr>
            <w:r w:rsidRPr="00652431">
              <w:rPr>
                <w:rFonts w:cstheme="minorHAnsi"/>
                <w:sz w:val="20"/>
                <w:szCs w:val="20"/>
              </w:rPr>
              <w:t>Density by numbers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0769A0" w:rsidRPr="00652431" w:rsidRDefault="002F5E41" w:rsidP="002F5E41">
            <w:pPr>
              <w:jc w:val="center"/>
              <w:rPr>
                <w:rFonts w:cstheme="minorHAnsi"/>
                <w:sz w:val="20"/>
                <w:szCs w:val="20"/>
              </w:rPr>
            </w:pPr>
            <w:r w:rsidRPr="00652431">
              <w:rPr>
                <w:rFonts w:cstheme="minorHAnsi"/>
                <w:sz w:val="20"/>
                <w:szCs w:val="20"/>
              </w:rPr>
              <w:t>Def</w:t>
            </w:r>
            <w:r w:rsidR="000769A0" w:rsidRPr="00652431">
              <w:rPr>
                <w:rFonts w:cstheme="minorHAnsi"/>
                <w:sz w:val="20"/>
                <w:szCs w:val="20"/>
              </w:rPr>
              <w:t>ining density</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0769A0" w:rsidRPr="00652431" w:rsidRDefault="000769A0" w:rsidP="007F0DC5">
            <w:pPr>
              <w:jc w:val="center"/>
              <w:rPr>
                <w:rFonts w:cstheme="minorHAnsi"/>
                <w:sz w:val="20"/>
                <w:szCs w:val="20"/>
              </w:rPr>
            </w:pPr>
            <w:r w:rsidRPr="00652431">
              <w:rPr>
                <w:rFonts w:cstheme="minorHAnsi"/>
                <w:sz w:val="20"/>
                <w:szCs w:val="20"/>
              </w:rPr>
              <w:t>Particle characteristics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0769A0" w:rsidRPr="00652431" w:rsidRDefault="000769A0" w:rsidP="00F54A70">
            <w:pPr>
              <w:jc w:val="center"/>
              <w:rPr>
                <w:rFonts w:cstheme="minorHAnsi"/>
                <w:sz w:val="20"/>
                <w:szCs w:val="20"/>
              </w:rPr>
            </w:pPr>
            <w:r w:rsidRPr="00652431">
              <w:rPr>
                <w:rFonts w:cstheme="minorHAnsi"/>
                <w:sz w:val="20"/>
                <w:szCs w:val="20"/>
              </w:rPr>
              <w:t>Cold water</w:t>
            </w:r>
          </w:p>
        </w:tc>
      </w:tr>
      <w:tr w:rsidR="000769A0" w:rsidRPr="00E675A8" w:rsidTr="000769A0">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0769A0" w:rsidRPr="00B37C53" w:rsidRDefault="000769A0" w:rsidP="009B5270">
            <w:pPr>
              <w:rPr>
                <w:rFonts w:cstheme="minorHAnsi"/>
                <w:b/>
                <w:color w:val="FFFFFF" w:themeColor="background1"/>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769A0" w:rsidRPr="00652431" w:rsidRDefault="005D71A8" w:rsidP="000769A0">
            <w:pPr>
              <w:jc w:val="center"/>
              <w:rPr>
                <w:rFonts w:cstheme="minorHAnsi"/>
                <w:sz w:val="20"/>
                <w:szCs w:val="20"/>
              </w:rPr>
            </w:pPr>
            <w:r w:rsidRPr="00652431">
              <w:rPr>
                <w:rFonts w:cstheme="minorHAnsi"/>
                <w:sz w:val="20"/>
                <w:szCs w:val="20"/>
              </w:rPr>
              <w:t>Railway sleepers</w:t>
            </w:r>
          </w:p>
        </w:tc>
        <w:tc>
          <w:tcPr>
            <w:tcW w:w="2439" w:type="dxa"/>
            <w:vMerge/>
            <w:tcBorders>
              <w:top w:val="dashed" w:sz="4"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769A0" w:rsidRPr="00652431" w:rsidRDefault="000769A0" w:rsidP="009B5270">
            <w:pPr>
              <w:jc w:val="center"/>
              <w:rPr>
                <w:rFonts w:cstheme="minorHAnsi"/>
                <w:sz w:val="20"/>
                <w:szCs w:val="20"/>
              </w:rPr>
            </w:pPr>
          </w:p>
        </w:tc>
        <w:tc>
          <w:tcPr>
            <w:tcW w:w="2439" w:type="dxa"/>
            <w:vMerge/>
            <w:tcBorders>
              <w:top w:val="dashed" w:sz="4"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769A0" w:rsidRPr="00652431" w:rsidRDefault="000769A0" w:rsidP="009B5270">
            <w:pPr>
              <w:jc w:val="center"/>
              <w:rPr>
                <w:rFonts w:cstheme="minorHAnsi"/>
                <w:sz w:val="20"/>
                <w:szCs w:val="20"/>
              </w:rPr>
            </w:pPr>
          </w:p>
        </w:tc>
        <w:tc>
          <w:tcPr>
            <w:tcW w:w="2439" w:type="dxa"/>
            <w:vMerge/>
            <w:tcBorders>
              <w:top w:val="dashed" w:sz="4"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769A0" w:rsidRPr="00652431" w:rsidRDefault="000769A0" w:rsidP="009B5270">
            <w:pPr>
              <w:jc w:val="center"/>
              <w:rPr>
                <w:rFonts w:cstheme="minorHAnsi"/>
                <w:sz w:val="20"/>
                <w:szCs w:val="20"/>
              </w:rPr>
            </w:pPr>
          </w:p>
        </w:tc>
        <w:tc>
          <w:tcPr>
            <w:tcW w:w="2439" w:type="dxa"/>
            <w:vMerge/>
            <w:tcBorders>
              <w:top w:val="dashed" w:sz="4"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769A0" w:rsidRPr="00652431" w:rsidRDefault="000769A0" w:rsidP="009B5270">
            <w:pPr>
              <w:jc w:val="center"/>
              <w:rPr>
                <w:rFonts w:cstheme="minorHAnsi"/>
                <w:sz w:val="20"/>
                <w:szCs w:val="20"/>
              </w:rPr>
            </w:pPr>
          </w:p>
        </w:tc>
      </w:tr>
      <w:tr w:rsidR="00761D32" w:rsidRPr="00E675A8" w:rsidTr="000769A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3312BE" w:rsidRDefault="00761D32" w:rsidP="009B5270">
            <w:pPr>
              <w:rPr>
                <w:rFonts w:cstheme="minorHAnsi"/>
                <w:b/>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652431"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652431"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652431"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652431"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652431" w:rsidRDefault="00761D32" w:rsidP="009B5270">
            <w:pPr>
              <w:jc w:val="center"/>
              <w:rPr>
                <w:rFonts w:cstheme="minorHAnsi"/>
                <w:sz w:val="20"/>
                <w:szCs w:val="20"/>
              </w:rPr>
            </w:pPr>
          </w:p>
        </w:tc>
      </w:tr>
      <w:tr w:rsidR="00761D32" w:rsidRPr="00E675A8" w:rsidTr="000769A0">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6B2B20" w:rsidRDefault="00761D32" w:rsidP="009B5270">
            <w:pPr>
              <w:rPr>
                <w:rFonts w:cstheme="minorHAnsi"/>
                <w:b/>
                <w:color w:val="FFFFFF" w:themeColor="background1"/>
                <w:sz w:val="20"/>
                <w:szCs w:val="20"/>
              </w:rPr>
            </w:pPr>
            <w:r w:rsidRPr="006B2B20">
              <w:rPr>
                <w:rFonts w:cstheme="minorHAnsi"/>
                <w:b/>
                <w:color w:val="FFFFFF" w:themeColor="background1"/>
                <w:sz w:val="20"/>
                <w:szCs w:val="20"/>
              </w:rPr>
              <w:t xml:space="preserve">Response </w:t>
            </w:r>
          </w:p>
          <w:p w:rsidR="00761D32" w:rsidRPr="003312BE" w:rsidRDefault="004E2255" w:rsidP="009B5270">
            <w:pPr>
              <w:rPr>
                <w:rFonts w:cstheme="minorHAnsi"/>
                <w:b/>
                <w:sz w:val="20"/>
                <w:szCs w:val="20"/>
              </w:rPr>
            </w:pPr>
            <w:r w:rsidRPr="006B2B20">
              <w:rPr>
                <w:rFonts w:cstheme="minorHAnsi"/>
                <w:b/>
                <w:color w:val="FFFFFF" w:themeColor="background1"/>
                <w:sz w:val="20"/>
                <w:szCs w:val="20"/>
              </w:rPr>
              <w:t>a</w:t>
            </w:r>
            <w:r w:rsidR="00761D32" w:rsidRPr="006B2B20">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652431" w:rsidRDefault="00761D32"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652431" w:rsidRDefault="00761D32"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652431" w:rsidRDefault="00341D5A" w:rsidP="009B5270">
            <w:pPr>
              <w:jc w:val="center"/>
              <w:rPr>
                <w:rFonts w:cstheme="minorHAnsi"/>
                <w:sz w:val="20"/>
                <w:szCs w:val="20"/>
              </w:rPr>
            </w:pPr>
            <w:r w:rsidRPr="00652431">
              <w:rPr>
                <w:rFonts w:cstheme="minorHAnsi"/>
                <w:sz w:val="20"/>
                <w:szCs w:val="20"/>
              </w:rPr>
              <w:t>Measuring density</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652431" w:rsidRDefault="00AF6628" w:rsidP="00E70A7A">
            <w:pPr>
              <w:jc w:val="center"/>
              <w:rPr>
                <w:rFonts w:cstheme="minorHAnsi"/>
                <w:sz w:val="20"/>
                <w:szCs w:val="20"/>
              </w:rPr>
            </w:pPr>
            <w:r w:rsidRPr="00652431">
              <w:rPr>
                <w:rFonts w:cstheme="minorHAnsi"/>
                <w:sz w:val="20"/>
                <w:szCs w:val="20"/>
              </w:rPr>
              <w:t>Modelling density</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F6628" w:rsidRPr="00652431" w:rsidRDefault="00AF6628" w:rsidP="00DA68CF">
            <w:pPr>
              <w:jc w:val="center"/>
              <w:rPr>
                <w:rFonts w:cstheme="minorHAnsi"/>
                <w:sz w:val="20"/>
                <w:szCs w:val="20"/>
              </w:rPr>
            </w:pPr>
            <w:r w:rsidRPr="00652431">
              <w:rPr>
                <w:rFonts w:cstheme="minorHAnsi"/>
                <w:sz w:val="20"/>
                <w:szCs w:val="20"/>
              </w:rPr>
              <w:t>Particle anomaly</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p>
        </w:tc>
        <w:tc>
          <w:tcPr>
            <w:tcW w:w="4407" w:type="dxa"/>
            <w:vAlign w:val="center"/>
          </w:tcPr>
          <w:p w:rsidR="00761D32" w:rsidRDefault="00761D32" w:rsidP="009B5270">
            <w:pPr>
              <w:rPr>
                <w:sz w:val="20"/>
              </w:rPr>
            </w:pP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FB4B53" w:rsidRPr="00FB4B53" w:rsidTr="005F454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FB4B53" w:rsidRDefault="00FB4B53" w:rsidP="009A68B9">
            <w:pPr>
              <w:jc w:val="center"/>
              <w:rPr>
                <w:rFonts w:cstheme="minorHAnsi"/>
                <w:b/>
              </w:rPr>
            </w:pPr>
            <w:r w:rsidRPr="00FB4B53">
              <w:rPr>
                <w:rFonts w:cstheme="minorHAnsi"/>
                <w:b/>
              </w:rPr>
              <w:lastRenderedPageBreak/>
              <w:t>Comparing density</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FB4B53" w:rsidRDefault="00C0449E" w:rsidP="009A68B9">
            <w:pPr>
              <w:jc w:val="center"/>
              <w:rPr>
                <w:rFonts w:cstheme="minorHAnsi"/>
                <w:b/>
              </w:rPr>
            </w:pPr>
            <w:r>
              <w:rPr>
                <w:rFonts w:cstheme="minorHAnsi"/>
                <w:b/>
              </w:rPr>
              <w:t>Railway sleepers</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FB4B53" w:rsidRDefault="00FB4B53" w:rsidP="009A68B9">
            <w:pPr>
              <w:jc w:val="center"/>
              <w:rPr>
                <w:rFonts w:cstheme="minorHAnsi"/>
                <w:b/>
              </w:rPr>
            </w:pPr>
            <w:r w:rsidRPr="00FB4B53">
              <w:rPr>
                <w:rFonts w:cstheme="minorHAnsi"/>
                <w:b/>
              </w:rPr>
              <w:t>Density by numbers</w:t>
            </w:r>
          </w:p>
        </w:tc>
        <w:tc>
          <w:tcPr>
            <w:tcW w:w="2790" w:type="dxa"/>
            <w:tcBorders>
              <w:left w:val="single" w:sz="4" w:space="0" w:color="auto"/>
              <w:bottom w:val="nil"/>
            </w:tcBorders>
            <w:shd w:val="clear" w:color="auto" w:fill="E5DFEC" w:themeFill="accent4" w:themeFillTint="33"/>
            <w:vAlign w:val="center"/>
          </w:tcPr>
          <w:p w:rsidR="00793235" w:rsidRPr="00FB4B53" w:rsidRDefault="002F5E41" w:rsidP="009A68B9">
            <w:pPr>
              <w:jc w:val="center"/>
              <w:rPr>
                <w:rFonts w:cstheme="minorHAnsi"/>
                <w:b/>
              </w:rPr>
            </w:pPr>
            <w:r>
              <w:rPr>
                <w:rFonts w:cstheme="minorHAnsi"/>
                <w:b/>
              </w:rPr>
              <w:t>Defi</w:t>
            </w:r>
            <w:r w:rsidR="00FB4B53" w:rsidRPr="00FB4B53">
              <w:rPr>
                <w:rFonts w:cstheme="minorHAnsi"/>
                <w:b/>
              </w:rPr>
              <w:t>ning density</w:t>
            </w:r>
          </w:p>
        </w:tc>
        <w:tc>
          <w:tcPr>
            <w:tcW w:w="2790" w:type="dxa"/>
            <w:tcBorders>
              <w:bottom w:val="nil"/>
            </w:tcBorders>
            <w:shd w:val="clear" w:color="auto" w:fill="E5DFEC" w:themeFill="accent4" w:themeFillTint="33"/>
            <w:vAlign w:val="center"/>
          </w:tcPr>
          <w:p w:rsidR="00793235" w:rsidRPr="00FB4B53" w:rsidRDefault="00FB4B53" w:rsidP="009A68B9">
            <w:pPr>
              <w:jc w:val="center"/>
              <w:rPr>
                <w:rFonts w:cstheme="minorHAnsi"/>
                <w:b/>
              </w:rPr>
            </w:pPr>
            <w:r w:rsidRPr="00FB4B53">
              <w:rPr>
                <w:rFonts w:cstheme="minorHAnsi"/>
                <w:b/>
              </w:rPr>
              <w:t>Particle characteristics</w:t>
            </w:r>
          </w:p>
        </w:tc>
      </w:tr>
      <w:tr w:rsidR="00793235" w:rsidTr="009A68B9">
        <w:trPr>
          <w:trHeight w:hRule="exact" w:val="3515"/>
        </w:trPr>
        <w:tc>
          <w:tcPr>
            <w:tcW w:w="2789" w:type="dxa"/>
            <w:tcBorders>
              <w:top w:val="nil"/>
              <w:bottom w:val="nil"/>
            </w:tcBorders>
            <w:vAlign w:val="center"/>
          </w:tcPr>
          <w:p w:rsidR="00793235" w:rsidRDefault="00EB0009" w:rsidP="00EB0009">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20704" behindDoc="0" locked="0" layoutInCell="1" allowOverlap="1">
                  <wp:simplePos x="0" y="0"/>
                  <wp:positionH relativeFrom="column">
                    <wp:posOffset>19685</wp:posOffset>
                  </wp:positionH>
                  <wp:positionV relativeFrom="paragraph">
                    <wp:posOffset>15875</wp:posOffset>
                  </wp:positionV>
                  <wp:extent cx="1519555" cy="2159635"/>
                  <wp:effectExtent l="19050" t="19050" r="23495" b="120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1CC85B.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955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19680" behindDoc="0" locked="0" layoutInCell="1" allowOverlap="1">
                  <wp:simplePos x="0" y="0"/>
                  <wp:positionH relativeFrom="column">
                    <wp:posOffset>72390</wp:posOffset>
                  </wp:positionH>
                  <wp:positionV relativeFrom="paragraph">
                    <wp:posOffset>41910</wp:posOffset>
                  </wp:positionV>
                  <wp:extent cx="1523365" cy="2159635"/>
                  <wp:effectExtent l="19050" t="19050" r="19685" b="120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1CCEC6.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336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793235" w:rsidRDefault="00C0449E" w:rsidP="00EB0009">
            <w:pPr>
              <w:jc w:val="center"/>
              <w:rPr>
                <w:b/>
                <w:color w:val="5F497A" w:themeColor="accent4" w:themeShade="BF"/>
                <w:sz w:val="24"/>
              </w:rPr>
            </w:pPr>
            <w:r>
              <w:rPr>
                <w:b/>
                <w:noProof/>
                <w:color w:val="5F497A" w:themeColor="accent4" w:themeShade="BF"/>
                <w:sz w:val="24"/>
                <w:lang w:eastAsia="en-GB"/>
              </w:rPr>
              <w:drawing>
                <wp:inline distT="0" distB="0" distL="0" distR="0">
                  <wp:extent cx="1527507" cy="2160000"/>
                  <wp:effectExtent l="19050" t="19050" r="1587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D4E71.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3443CE" w:rsidP="00EB0009">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D4771D.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784211" w:rsidP="00EB0009">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E08EE.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3063D8" w:rsidP="00EB0009">
            <w:pPr>
              <w:jc w:val="center"/>
              <w:rPr>
                <w:b/>
                <w:color w:val="5F497A" w:themeColor="accent4" w:themeShade="BF"/>
                <w:sz w:val="24"/>
              </w:rPr>
            </w:pPr>
            <w:r>
              <w:rPr>
                <w:b/>
                <w:noProof/>
                <w:color w:val="5F497A" w:themeColor="accent4" w:themeShade="BF"/>
                <w:sz w:val="24"/>
                <w:lang w:eastAsia="en-GB"/>
              </w:rPr>
              <w:drawing>
                <wp:inline distT="0" distB="0" distL="0" distR="0">
                  <wp:extent cx="1531097" cy="2160000"/>
                  <wp:effectExtent l="19050" t="19050" r="12065"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14548B.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31097" cy="2160000"/>
                          </a:xfrm>
                          <a:prstGeom prst="rect">
                            <a:avLst/>
                          </a:prstGeom>
                          <a:ln w="6350">
                            <a:solidFill>
                              <a:schemeClr val="accent4">
                                <a:lumMod val="50000"/>
                              </a:schemeClr>
                            </a:solidFill>
                          </a:ln>
                        </pic:spPr>
                      </pic:pic>
                    </a:graphicData>
                  </a:graphic>
                </wp:inline>
              </w:drawing>
            </w:r>
          </w:p>
        </w:tc>
      </w:tr>
      <w:tr w:rsidR="00793235" w:rsidTr="00D358F2">
        <w:trPr>
          <w:trHeight w:hRule="exact" w:val="454"/>
        </w:trPr>
        <w:tc>
          <w:tcPr>
            <w:tcW w:w="2789" w:type="dxa"/>
            <w:tcBorders>
              <w:top w:val="nil"/>
              <w:bottom w:val="single" w:sz="4" w:space="0" w:color="auto"/>
            </w:tcBorders>
            <w:shd w:val="clear" w:color="auto" w:fill="E5DFEC" w:themeFill="accent4" w:themeFillTint="33"/>
            <w:vAlign w:val="center"/>
          </w:tcPr>
          <w:p w:rsidR="00793235" w:rsidRPr="00EA6AA1" w:rsidRDefault="00EB0009" w:rsidP="009A68B9">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793235" w:rsidRPr="00EA6AA1" w:rsidRDefault="00C0449E" w:rsidP="009A68B9">
            <w:pPr>
              <w:spacing w:after="120" w:line="276" w:lineRule="auto"/>
              <w:jc w:val="center"/>
            </w:pPr>
            <w:r>
              <w:t>Focused cloze</w:t>
            </w:r>
          </w:p>
        </w:tc>
        <w:tc>
          <w:tcPr>
            <w:tcW w:w="2790" w:type="dxa"/>
            <w:tcBorders>
              <w:top w:val="nil"/>
              <w:bottom w:val="single" w:sz="4" w:space="0" w:color="auto"/>
            </w:tcBorders>
            <w:shd w:val="clear" w:color="auto" w:fill="E5DFEC" w:themeFill="accent4" w:themeFillTint="33"/>
            <w:vAlign w:val="center"/>
          </w:tcPr>
          <w:p w:rsidR="00793235" w:rsidRPr="00EA6AA1" w:rsidRDefault="00FB3C94"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2F5E41"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3063D8" w:rsidP="009A68B9">
            <w:pPr>
              <w:spacing w:after="120" w:line="276" w:lineRule="auto"/>
              <w:jc w:val="center"/>
            </w:pPr>
            <w:r>
              <w:t>Confidence grid</w:t>
            </w:r>
          </w:p>
        </w:tc>
      </w:tr>
      <w:tr w:rsidR="00793235" w:rsidRPr="00D2452D" w:rsidTr="00D358F2">
        <w:trPr>
          <w:trHeight w:hRule="exact" w:val="340"/>
        </w:trPr>
        <w:tc>
          <w:tcPr>
            <w:tcW w:w="2789" w:type="dxa"/>
            <w:tcBorders>
              <w:bottom w:val="nil"/>
            </w:tcBorders>
            <w:shd w:val="clear" w:color="auto" w:fill="E5DFEC" w:themeFill="accent4" w:themeFillTint="33"/>
            <w:vAlign w:val="center"/>
          </w:tcPr>
          <w:p w:rsidR="00793235" w:rsidRPr="00AC1978" w:rsidRDefault="00FB4B53" w:rsidP="009A68B9">
            <w:pPr>
              <w:spacing w:line="276" w:lineRule="auto"/>
              <w:jc w:val="center"/>
              <w:rPr>
                <w:b/>
              </w:rPr>
            </w:pPr>
            <w:r>
              <w:rPr>
                <w:b/>
              </w:rPr>
              <w:t>Cold water</w:t>
            </w:r>
          </w:p>
        </w:tc>
        <w:tc>
          <w:tcPr>
            <w:tcW w:w="2789" w:type="dxa"/>
            <w:tcBorders>
              <w:bottom w:val="nil"/>
            </w:tcBorders>
            <w:shd w:val="clear" w:color="auto" w:fill="B2A1C7" w:themeFill="accent4" w:themeFillTint="99"/>
            <w:vAlign w:val="center"/>
          </w:tcPr>
          <w:p w:rsidR="00793235" w:rsidRPr="00AC1978" w:rsidRDefault="00064925" w:rsidP="009A68B9">
            <w:pPr>
              <w:jc w:val="center"/>
              <w:rPr>
                <w:rFonts w:cstheme="minorHAnsi"/>
                <w:b/>
              </w:rPr>
            </w:pPr>
            <w:r>
              <w:rPr>
                <w:rFonts w:cstheme="minorHAnsi"/>
                <w:b/>
              </w:rPr>
              <w:t>Measuring density</w:t>
            </w:r>
          </w:p>
        </w:tc>
        <w:tc>
          <w:tcPr>
            <w:tcW w:w="2790" w:type="dxa"/>
            <w:tcBorders>
              <w:bottom w:val="nil"/>
            </w:tcBorders>
            <w:shd w:val="clear" w:color="auto" w:fill="B2A1C7" w:themeFill="accent4" w:themeFillTint="99"/>
            <w:vAlign w:val="center"/>
          </w:tcPr>
          <w:p w:rsidR="00793235" w:rsidRPr="00D2452D" w:rsidRDefault="00FB4B53" w:rsidP="009A68B9">
            <w:pPr>
              <w:jc w:val="center"/>
              <w:rPr>
                <w:rFonts w:cstheme="minorHAnsi"/>
                <w:b/>
              </w:rPr>
            </w:pPr>
            <w:r>
              <w:rPr>
                <w:rFonts w:cstheme="minorHAnsi"/>
                <w:b/>
              </w:rPr>
              <w:t>Modelling density</w:t>
            </w:r>
          </w:p>
        </w:tc>
        <w:tc>
          <w:tcPr>
            <w:tcW w:w="2790" w:type="dxa"/>
            <w:tcBorders>
              <w:bottom w:val="nil"/>
            </w:tcBorders>
            <w:shd w:val="clear" w:color="auto" w:fill="B2A1C7" w:themeFill="accent4" w:themeFillTint="99"/>
            <w:vAlign w:val="center"/>
          </w:tcPr>
          <w:p w:rsidR="00793235" w:rsidRPr="00D2452D" w:rsidRDefault="00FB4B53" w:rsidP="009A68B9">
            <w:pPr>
              <w:jc w:val="center"/>
              <w:rPr>
                <w:rFonts w:cstheme="minorHAnsi"/>
                <w:b/>
              </w:rPr>
            </w:pPr>
            <w:r>
              <w:rPr>
                <w:rFonts w:cstheme="minorHAnsi"/>
                <w:b/>
              </w:rPr>
              <w:t>Particle anomaly</w:t>
            </w:r>
          </w:p>
        </w:tc>
        <w:tc>
          <w:tcPr>
            <w:tcW w:w="2790" w:type="dxa"/>
            <w:tcBorders>
              <w:left w:val="nil"/>
              <w:bottom w:val="nil"/>
              <w:right w:val="nil"/>
            </w:tcBorders>
            <w:shd w:val="clear" w:color="auto" w:fill="auto"/>
            <w:vAlign w:val="center"/>
          </w:tcPr>
          <w:p w:rsidR="00793235" w:rsidRPr="00D2452D" w:rsidRDefault="00793235" w:rsidP="009A68B9">
            <w:pPr>
              <w:jc w:val="center"/>
              <w:rPr>
                <w:rFonts w:cstheme="minorHAnsi"/>
                <w:b/>
              </w:rPr>
            </w:pPr>
          </w:p>
        </w:tc>
      </w:tr>
      <w:tr w:rsidR="00793235" w:rsidTr="00D358F2">
        <w:trPr>
          <w:trHeight w:hRule="exact" w:val="3515"/>
        </w:trPr>
        <w:tc>
          <w:tcPr>
            <w:tcW w:w="2789" w:type="dxa"/>
            <w:tcBorders>
              <w:top w:val="nil"/>
              <w:bottom w:val="nil"/>
            </w:tcBorders>
            <w:vAlign w:val="center"/>
          </w:tcPr>
          <w:p w:rsidR="00793235" w:rsidRPr="00FC1013" w:rsidRDefault="001C396D" w:rsidP="009235CB">
            <w:pPr>
              <w:jc w:val="center"/>
            </w:pPr>
            <w:r>
              <w:rPr>
                <w:noProof/>
                <w:lang w:eastAsia="en-GB"/>
              </w:rPr>
              <w:drawing>
                <wp:inline distT="0" distB="0" distL="0" distR="0">
                  <wp:extent cx="1526311" cy="2160000"/>
                  <wp:effectExtent l="19050" t="19050" r="1714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A87C7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6311"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FC1013" w:rsidRDefault="009235CB" w:rsidP="009235CB">
            <w:pPr>
              <w:jc w:val="center"/>
            </w:pPr>
            <w:r>
              <w:rPr>
                <w:noProof/>
                <w:lang w:eastAsia="en-GB"/>
              </w:rPr>
              <w:drawing>
                <wp:inline distT="0" distB="0" distL="0" distR="0">
                  <wp:extent cx="1521524" cy="2160000"/>
                  <wp:effectExtent l="19050" t="19050" r="2159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646E7.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152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E70A7A" w:rsidP="009235CB">
            <w:pPr>
              <w:jc w:val="center"/>
            </w:pPr>
            <w:r>
              <w:rPr>
                <w:noProof/>
                <w:lang w:eastAsia="en-GB"/>
              </w:rPr>
              <w:drawing>
                <wp:inline distT="0" distB="0" distL="0" distR="0">
                  <wp:extent cx="1523439" cy="2160000"/>
                  <wp:effectExtent l="19050" t="19050" r="19685"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14FE01.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343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0B2D4E" w:rsidP="009235CB">
            <w:pPr>
              <w:jc w:val="center"/>
            </w:pPr>
            <w:r>
              <w:rPr>
                <w:noProof/>
                <w:lang w:eastAsia="en-GB"/>
              </w:rPr>
              <w:drawing>
                <wp:inline distT="0" distB="0" distL="0" distR="0">
                  <wp:extent cx="1527507" cy="2160000"/>
                  <wp:effectExtent l="19050" t="19050" r="15875"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A8C396.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nil"/>
            </w:tcBorders>
            <w:shd w:val="clear" w:color="auto" w:fill="auto"/>
            <w:vAlign w:val="center"/>
          </w:tcPr>
          <w:p w:rsidR="00793235" w:rsidRPr="00FC1013" w:rsidRDefault="00793235" w:rsidP="009A68B9"/>
        </w:tc>
      </w:tr>
      <w:tr w:rsidR="00793235" w:rsidTr="00D358F2">
        <w:trPr>
          <w:trHeight w:hRule="exact" w:val="454"/>
        </w:trPr>
        <w:tc>
          <w:tcPr>
            <w:tcW w:w="2789" w:type="dxa"/>
            <w:tcBorders>
              <w:top w:val="nil"/>
            </w:tcBorders>
            <w:shd w:val="clear" w:color="auto" w:fill="E5DFEC" w:themeFill="accent4" w:themeFillTint="33"/>
            <w:vAlign w:val="center"/>
          </w:tcPr>
          <w:p w:rsidR="00793235" w:rsidRPr="00FC1013" w:rsidRDefault="002F0EC0" w:rsidP="009A68B9">
            <w:pPr>
              <w:spacing w:after="120" w:line="276" w:lineRule="auto"/>
              <w:jc w:val="center"/>
            </w:pPr>
            <w:r>
              <w:t>Two-tier multiple choice</w:t>
            </w:r>
          </w:p>
        </w:tc>
        <w:tc>
          <w:tcPr>
            <w:tcW w:w="2789" w:type="dxa"/>
            <w:tcBorders>
              <w:top w:val="nil"/>
            </w:tcBorders>
            <w:shd w:val="clear" w:color="auto" w:fill="B2A1C7" w:themeFill="accent4" w:themeFillTint="99"/>
            <w:vAlign w:val="center"/>
          </w:tcPr>
          <w:p w:rsidR="00793235" w:rsidRPr="00FC1013" w:rsidRDefault="00064925" w:rsidP="009A68B9">
            <w:pPr>
              <w:spacing w:after="120" w:line="276" w:lineRule="auto"/>
              <w:jc w:val="center"/>
            </w:pPr>
            <w:r>
              <w:t>Talking heads</w:t>
            </w:r>
          </w:p>
        </w:tc>
        <w:tc>
          <w:tcPr>
            <w:tcW w:w="2790" w:type="dxa"/>
            <w:tcBorders>
              <w:top w:val="nil"/>
            </w:tcBorders>
            <w:shd w:val="clear" w:color="auto" w:fill="B2A1C7" w:themeFill="accent4" w:themeFillTint="99"/>
            <w:vAlign w:val="center"/>
          </w:tcPr>
          <w:p w:rsidR="00793235" w:rsidRPr="00FC1013" w:rsidRDefault="00E70A7A" w:rsidP="009A68B9">
            <w:pPr>
              <w:spacing w:after="120" w:line="276" w:lineRule="auto"/>
              <w:jc w:val="center"/>
            </w:pPr>
            <w:r>
              <w:t>Critiquing a representation</w:t>
            </w:r>
          </w:p>
        </w:tc>
        <w:tc>
          <w:tcPr>
            <w:tcW w:w="2790" w:type="dxa"/>
            <w:tcBorders>
              <w:top w:val="nil"/>
            </w:tcBorders>
            <w:shd w:val="clear" w:color="auto" w:fill="B2A1C7" w:themeFill="accent4" w:themeFillTint="99"/>
            <w:vAlign w:val="center"/>
          </w:tcPr>
          <w:p w:rsidR="00793235" w:rsidRPr="00FC1013" w:rsidRDefault="002F0EC0" w:rsidP="009A68B9">
            <w:pPr>
              <w:spacing w:after="120" w:line="276" w:lineRule="auto"/>
              <w:jc w:val="center"/>
            </w:pPr>
            <w:r>
              <w:t>Application and practice</w:t>
            </w:r>
          </w:p>
        </w:tc>
        <w:tc>
          <w:tcPr>
            <w:tcW w:w="2790" w:type="dxa"/>
            <w:tcBorders>
              <w:top w:val="nil"/>
              <w:left w:val="nil"/>
              <w:bottom w:val="nil"/>
              <w:right w:val="nil"/>
            </w:tcBorders>
            <w:shd w:val="clear" w:color="auto" w:fill="auto"/>
            <w:vAlign w:val="center"/>
          </w:tcPr>
          <w:p w:rsidR="00793235" w:rsidRPr="00FC1013" w:rsidRDefault="00793235" w:rsidP="009A68B9">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054147" w:rsidRDefault="00054147" w:rsidP="00072383">
      <w:pPr>
        <w:pStyle w:val="Default"/>
        <w:spacing w:after="180"/>
        <w:rPr>
          <w:rFonts w:asciiTheme="minorHAnsi" w:hAnsiTheme="minorHAnsi" w:cstheme="minorHAnsi"/>
          <w:sz w:val="22"/>
          <w:szCs w:val="22"/>
        </w:rPr>
      </w:pPr>
      <w:r>
        <w:rPr>
          <w:rFonts w:asciiTheme="minorHAnsi" w:hAnsiTheme="minorHAnsi" w:cstheme="minorHAnsi"/>
          <w:sz w:val="22"/>
          <w:szCs w:val="22"/>
        </w:rPr>
        <w:t>Density is a measure of the mass of material in one cubic metre or in one cubic centimetre</w:t>
      </w:r>
      <w:r w:rsidR="005445E2">
        <w:rPr>
          <w:rFonts w:asciiTheme="minorHAnsi" w:hAnsiTheme="minorHAnsi" w:cstheme="minorHAnsi"/>
          <w:sz w:val="22"/>
          <w:szCs w:val="22"/>
        </w:rPr>
        <w:t xml:space="preserve">. It is </w:t>
      </w:r>
      <w:r w:rsidR="005445E2" w:rsidRPr="005445E2">
        <w:rPr>
          <w:rFonts w:asciiTheme="minorHAnsi" w:hAnsiTheme="minorHAnsi" w:cstheme="minorHAnsi"/>
          <w:sz w:val="22"/>
          <w:szCs w:val="22"/>
        </w:rPr>
        <w:t xml:space="preserve">dependent on both the mass of </w:t>
      </w:r>
      <w:r w:rsidR="005445E2">
        <w:rPr>
          <w:rFonts w:asciiTheme="minorHAnsi" w:hAnsiTheme="minorHAnsi" w:cstheme="minorHAnsi"/>
          <w:sz w:val="22"/>
          <w:szCs w:val="22"/>
        </w:rPr>
        <w:t>the constituent</w:t>
      </w:r>
      <w:r w:rsidR="005445E2" w:rsidRPr="005445E2">
        <w:rPr>
          <w:rFonts w:asciiTheme="minorHAnsi" w:hAnsiTheme="minorHAnsi" w:cstheme="minorHAnsi"/>
          <w:sz w:val="22"/>
          <w:szCs w:val="22"/>
        </w:rPr>
        <w:t xml:space="preserve"> particle</w:t>
      </w:r>
      <w:r w:rsidR="005445E2">
        <w:rPr>
          <w:rFonts w:asciiTheme="minorHAnsi" w:hAnsiTheme="minorHAnsi" w:cstheme="minorHAnsi"/>
          <w:sz w:val="22"/>
          <w:szCs w:val="22"/>
        </w:rPr>
        <w:t>s and their spatial arrangement</w:t>
      </w:r>
      <w:r>
        <w:rPr>
          <w:rFonts w:asciiTheme="minorHAnsi" w:hAnsiTheme="minorHAnsi" w:cstheme="minorHAnsi"/>
          <w:sz w:val="22"/>
          <w:szCs w:val="22"/>
        </w:rPr>
        <w:t>. It is calculated by dividing mass by the volume of an object or a material. The volume of an object can be measured using a ruler or Vernier calliper and then calculated, or the object can be submerged with the volume of water that it displaces measured.</w:t>
      </w:r>
    </w:p>
    <w:p w:rsidR="00A314B6" w:rsidRPr="00862126" w:rsidRDefault="00A314B6" w:rsidP="00072383">
      <w:pPr>
        <w:spacing w:before="360" w:after="180"/>
        <w:rPr>
          <w:b/>
          <w:color w:val="5F497A"/>
          <w:sz w:val="24"/>
        </w:rPr>
      </w:pPr>
      <w:r w:rsidRPr="00862126">
        <w:rPr>
          <w:b/>
          <w:color w:val="5F497A"/>
          <w:sz w:val="24"/>
        </w:rPr>
        <w:t>Earlier development of understanding (BEST 11-14)</w:t>
      </w:r>
    </w:p>
    <w:p w:rsidR="00A314B6" w:rsidRPr="0000601B" w:rsidRDefault="00A314B6" w:rsidP="00072383">
      <w:pPr>
        <w:spacing w:after="180"/>
      </w:pPr>
      <w:r>
        <w:t xml:space="preserve">When applying their understanding to novel situations, students of all ages often revert to earlier misunderstandings. Before moving forward it is worthwhile using diagnostic questions to check that students do not have any persistent blocks on their learning. Time spent consolidating the scientific understanding of earlier concepts before moving forward can accelerate progression later. </w:t>
      </w:r>
    </w:p>
    <w:p w:rsidR="00072383" w:rsidRDefault="00072383" w:rsidP="00A314B6">
      <w:pPr>
        <w:spacing w:after="180"/>
        <w:rPr>
          <w:b/>
          <w:color w:val="5F497A"/>
        </w:rPr>
      </w:pPr>
      <w:r w:rsidRPr="00DC1F20">
        <w:rPr>
          <w:b/>
        </w:rPr>
        <w:t>Key concept: CPS1.1 Particles model for the solid, liquid and gas states</w:t>
      </w:r>
    </w:p>
    <w:p w:rsidR="00072383" w:rsidRDefault="00072383" w:rsidP="00072383">
      <w:pPr>
        <w:spacing w:after="180"/>
      </w:pPr>
      <w:r>
        <w:t>Learning focus: The particle model of matter can explain the properties of substances in the solid, liquid and gas states.</w:t>
      </w:r>
    </w:p>
    <w:p w:rsidR="00072383" w:rsidRDefault="00072383" w:rsidP="00072383">
      <w:pPr>
        <w:spacing w:after="180"/>
      </w:pPr>
      <w:r>
        <w:t>This key concept:</w:t>
      </w:r>
    </w:p>
    <w:p w:rsidR="00072383" w:rsidRPr="00947E4B" w:rsidRDefault="00072383" w:rsidP="00072383">
      <w:pPr>
        <w:pStyle w:val="ListParagraph"/>
        <w:numPr>
          <w:ilvl w:val="0"/>
          <w:numId w:val="6"/>
        </w:numPr>
        <w:spacing w:after="180"/>
      </w:pPr>
      <w:r w:rsidRPr="00947E4B">
        <w:t xml:space="preserve">Consolidates understanding of </w:t>
      </w:r>
      <w:r>
        <w:t>the solid, liquid and gas states through observable properties.</w:t>
      </w:r>
    </w:p>
    <w:p w:rsidR="00072383" w:rsidRDefault="00072383" w:rsidP="00072383">
      <w:pPr>
        <w:pStyle w:val="ListParagraph"/>
        <w:numPr>
          <w:ilvl w:val="0"/>
          <w:numId w:val="6"/>
        </w:numPr>
        <w:spacing w:after="180"/>
      </w:pPr>
      <w:r w:rsidRPr="00947E4B">
        <w:t xml:space="preserve">Develops understanding of </w:t>
      </w:r>
      <w:r>
        <w:t>the arrangement and movement of particles in each state of matter.</w:t>
      </w:r>
    </w:p>
    <w:p w:rsidR="00072383" w:rsidRDefault="00072383" w:rsidP="00072383">
      <w:pPr>
        <w:pStyle w:val="ListParagraph"/>
        <w:numPr>
          <w:ilvl w:val="0"/>
          <w:numId w:val="6"/>
        </w:numPr>
        <w:spacing w:after="180"/>
      </w:pPr>
      <w:r>
        <w:t>Uses understanding of the particle model to explain the properties of substances in</w:t>
      </w:r>
      <w:r w:rsidRPr="00947E4B">
        <w:t xml:space="preserve"> </w:t>
      </w:r>
      <w:r>
        <w:t>the solid, liquid and gas states and to explain changes of state.</w:t>
      </w:r>
    </w:p>
    <w:p w:rsidR="00A314B6" w:rsidRPr="00DC1F20" w:rsidRDefault="00A314B6" w:rsidP="00072383">
      <w:pPr>
        <w:spacing w:after="180"/>
        <w:rPr>
          <w:b/>
        </w:rPr>
      </w:pPr>
      <w:r w:rsidRPr="00DC1F20">
        <w:rPr>
          <w:b/>
        </w:rPr>
        <w:t xml:space="preserve">Key concept: </w:t>
      </w:r>
      <w:r w:rsidR="004316AE" w:rsidRPr="00DC1F20">
        <w:rPr>
          <w:b/>
        </w:rPr>
        <w:t>PMA2.1</w:t>
      </w:r>
      <w:r w:rsidR="00C72B3B" w:rsidRPr="00DC1F20">
        <w:rPr>
          <w:b/>
        </w:rPr>
        <w:t xml:space="preserve"> Floating</w:t>
      </w:r>
      <w:r w:rsidR="00947E4B" w:rsidRPr="00DC1F20">
        <w:rPr>
          <w:b/>
        </w:rPr>
        <w:t>,</w:t>
      </w:r>
      <w:r w:rsidR="00C72B3B" w:rsidRPr="00DC1F20">
        <w:rPr>
          <w:b/>
        </w:rPr>
        <w:t xml:space="preserve"> sinking and density</w:t>
      </w:r>
    </w:p>
    <w:p w:rsidR="00A314B6" w:rsidRDefault="00A314B6" w:rsidP="00FB1FF6">
      <w:pPr>
        <w:spacing w:after="180"/>
      </w:pPr>
      <w:r>
        <w:t xml:space="preserve">Learning focus: </w:t>
      </w:r>
      <w:r w:rsidR="00C72B3B" w:rsidRPr="00C72B3B">
        <w:t>An object that is surrounded by a fluid (liquid and/or gas) floats if its overall density is less than the density of the fluid.</w:t>
      </w:r>
    </w:p>
    <w:p w:rsidR="008278DF" w:rsidRDefault="008278DF" w:rsidP="008278DF">
      <w:pPr>
        <w:spacing w:after="180"/>
      </w:pPr>
      <w:r>
        <w:t>This key concept:</w:t>
      </w:r>
    </w:p>
    <w:p w:rsidR="00C72B3B" w:rsidRPr="00947E4B" w:rsidRDefault="00C72B3B" w:rsidP="00476114">
      <w:pPr>
        <w:pStyle w:val="ListParagraph"/>
        <w:numPr>
          <w:ilvl w:val="0"/>
          <w:numId w:val="6"/>
        </w:numPr>
        <w:spacing w:after="180"/>
      </w:pPr>
      <w:r w:rsidRPr="00947E4B">
        <w:t>Consolidates understanding of floating.</w:t>
      </w:r>
    </w:p>
    <w:p w:rsidR="008278DF" w:rsidRPr="00947E4B" w:rsidRDefault="00C72B3B" w:rsidP="00476114">
      <w:pPr>
        <w:pStyle w:val="ListParagraph"/>
        <w:numPr>
          <w:ilvl w:val="0"/>
          <w:numId w:val="6"/>
        </w:numPr>
        <w:spacing w:after="180"/>
      </w:pPr>
      <w:r w:rsidRPr="00947E4B">
        <w:t>Develops</w:t>
      </w:r>
      <w:r w:rsidR="008278DF" w:rsidRPr="00947E4B">
        <w:t xml:space="preserve"> understanding </w:t>
      </w:r>
      <w:r w:rsidRPr="00947E4B">
        <w:t xml:space="preserve">of how mass and volume determine </w:t>
      </w:r>
      <w:r w:rsidRPr="00947E4B">
        <w:rPr>
          <w:i/>
        </w:rPr>
        <w:t xml:space="preserve">together </w:t>
      </w:r>
      <w:r w:rsidRPr="00947E4B">
        <w:t>how well an object floats.</w:t>
      </w:r>
    </w:p>
    <w:p w:rsidR="00162CC6" w:rsidRPr="00947E4B" w:rsidRDefault="00947E4B" w:rsidP="00162CC6">
      <w:pPr>
        <w:pStyle w:val="ListParagraph"/>
        <w:numPr>
          <w:ilvl w:val="0"/>
          <w:numId w:val="6"/>
        </w:numPr>
        <w:spacing w:after="180"/>
      </w:pPr>
      <w:r w:rsidRPr="00947E4B">
        <w:t>Introduces</w:t>
      </w:r>
      <w:r w:rsidR="008278DF" w:rsidRPr="00947E4B">
        <w:t xml:space="preserve"> </w:t>
      </w:r>
      <w:r w:rsidR="00630970">
        <w:t xml:space="preserve">the concept of </w:t>
      </w:r>
      <w:r w:rsidR="00C72B3B" w:rsidRPr="00947E4B">
        <w:t xml:space="preserve">density </w:t>
      </w:r>
      <w:r w:rsidR="00630970">
        <w:t xml:space="preserve">as a measure of </w:t>
      </w:r>
      <w:r w:rsidRPr="00947E4B">
        <w:t xml:space="preserve">whether </w:t>
      </w:r>
      <w:r w:rsidR="00630970">
        <w:t>an object</w:t>
      </w:r>
      <w:r w:rsidRPr="00947E4B">
        <w:t xml:space="preserve"> is heavy (or light) for its size</w:t>
      </w:r>
      <w:r w:rsidR="00C72B3B" w:rsidRPr="00947E4B">
        <w:t>.</w:t>
      </w:r>
      <w:r w:rsidR="008278DF" w:rsidRPr="00947E4B">
        <w:t xml:space="preserve"> </w:t>
      </w:r>
    </w:p>
    <w:p w:rsidR="00072383" w:rsidRDefault="00072383">
      <w:pPr>
        <w:spacing w:after="200" w:line="276" w:lineRule="auto"/>
        <w:rPr>
          <w:b/>
          <w:color w:val="5F497A" w:themeColor="accent4" w:themeShade="BF"/>
          <w:sz w:val="24"/>
        </w:rPr>
      </w:pPr>
      <w:r>
        <w:rPr>
          <w:b/>
          <w:color w:val="5F497A" w:themeColor="accent4" w:themeShade="BF"/>
          <w:sz w:val="24"/>
        </w:rPr>
        <w:br w:type="page"/>
      </w:r>
    </w:p>
    <w:p w:rsidR="00FB1FF6" w:rsidRPr="0022442F" w:rsidRDefault="00FB1FF6" w:rsidP="00FB1FF6">
      <w:pPr>
        <w:spacing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rsidR="00FA0636" w:rsidRPr="00BA5169" w:rsidRDefault="00FA0636" w:rsidP="00FA0636">
      <w:pPr>
        <w:spacing w:after="180"/>
        <w:rPr>
          <w:b/>
        </w:rPr>
      </w:pPr>
      <w:r w:rsidRPr="00BA5169">
        <w:rPr>
          <w:b/>
        </w:rPr>
        <w:t>Density is hard to understand</w:t>
      </w:r>
    </w:p>
    <w:p w:rsidR="00FA0636" w:rsidRPr="007E03D0" w:rsidRDefault="00FA0636" w:rsidP="00FA0636">
      <w:pPr>
        <w:spacing w:after="180"/>
        <w:rPr>
          <w:rFonts w:cstheme="minorHAnsi"/>
          <w:color w:val="000000"/>
        </w:rPr>
      </w:pPr>
      <w:r>
        <w:t xml:space="preserve">It is generally recognised that density is hard to understand for two reasons. First, density involves a complex proportional relationship between mass and volume </w:t>
      </w:r>
      <w:r>
        <w:fldChar w:fldCharType="begin"/>
      </w:r>
      <w:r>
        <w:instrText xml:space="preserve"> ADDIN EN.CITE &lt;EndNote&gt;&lt;Cite&gt;&lt;Author&gt;Smith&lt;/Author&gt;&lt;Year&gt;1997&lt;/Year&gt;&lt;IDText&gt;Teaching for understanding: a study of students&amp;apos; preinstruction theories of matter and a comparison of the effectiveness of two approaches to teaching about matter and density&lt;/IDText&gt;&lt;DisplayText&gt;(Smith et al., 1997)&lt;/DisplayText&gt;&lt;record&gt;&lt;titles&gt;&lt;title&gt;Teaching for understanding: a study of students&amp;apos; preinstruction theories of matter and a comparison of the effectiveness of two approaches to teaching about matter and density&lt;/title&gt;&lt;secondary-title&gt;Cognition and Instruction&lt;/secondary-title&gt;&lt;/titles&gt;&lt;pages&gt;317-393&lt;/pages&gt;&lt;contributors&gt;&lt;authors&gt;&lt;author&gt;Smith, C&lt;/author&gt;&lt;author&gt;Maclin, D&lt;/author&gt;&lt;author&gt;Grosslight, L&lt;/author&gt;&lt;author&gt;Davis, H&lt;/author&gt;&lt;/authors&gt;&lt;/contributors&gt;&lt;added-date format="utc"&gt;1597321190&lt;/added-date&gt;&lt;ref-type name="Journal Article"&gt;17&lt;/ref-type&gt;&lt;dates&gt;&lt;year&gt;1997&lt;/year&gt;&lt;/dates&gt;&lt;rec-number&gt;299&lt;/rec-number&gt;&lt;last-updated-date format="utc"&gt;1597327794&lt;/last-updated-date&gt;&lt;volume&gt;15(3)&lt;/volume&gt;&lt;/record&gt;&lt;/Cite&gt;&lt;/EndNote&gt;</w:instrText>
      </w:r>
      <w:r>
        <w:fldChar w:fldCharType="separate"/>
      </w:r>
      <w:r>
        <w:rPr>
          <w:noProof/>
        </w:rPr>
        <w:t>(Smith et al., 1997)</w:t>
      </w:r>
      <w:r>
        <w:fldChar w:fldCharType="end"/>
      </w:r>
      <w:r>
        <w:t xml:space="preserve"> and proportional understanding is not fully developed in many children aged 14-15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Snir and Grosslight,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Snir and Grosslight, 1992)</w:t>
      </w:r>
      <w:r>
        <w:fldChar w:fldCharType="end"/>
      </w:r>
      <w:r>
        <w:t xml:space="preserve">. </w:t>
      </w:r>
    </w:p>
    <w:p w:rsidR="00FA0636" w:rsidRPr="007E03D0" w:rsidRDefault="00FA0636" w:rsidP="00FA0636">
      <w:pPr>
        <w:spacing w:after="180"/>
      </w:pPr>
      <w:r>
        <w:t xml:space="preserve">Second, density </w:t>
      </w:r>
      <w:r w:rsidRPr="00E72E5C">
        <w:rPr>
          <w:rFonts w:cstheme="minorHAnsi"/>
          <w:color w:val="000000"/>
        </w:rPr>
        <w:t xml:space="preserve">can only be perceived through calculation and not directly with the senses (Smith et al., 1997). It is a very common for students to be unable to distinguish weight from density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et al.,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et al., 1992)</w:t>
      </w:r>
      <w:r>
        <w:fldChar w:fldCharType="end"/>
      </w:r>
      <w:r>
        <w:t xml:space="preserve">. </w:t>
      </w:r>
    </w:p>
    <w:p w:rsidR="00FA0636" w:rsidRDefault="00FA0636" w:rsidP="00FA0636">
      <w:pPr>
        <w:spacing w:after="180"/>
        <w:rPr>
          <w:b/>
        </w:rPr>
      </w:pPr>
      <w:r>
        <w:rPr>
          <w:b/>
        </w:rPr>
        <w:t>Teaching density from definitions and equations is not usually the best approach.</w:t>
      </w:r>
    </w:p>
    <w:p w:rsidR="00FA0636" w:rsidRDefault="00FA0636" w:rsidP="00FA0636">
      <w:pPr>
        <w:spacing w:after="180"/>
        <w:rPr>
          <w:rFonts w:cstheme="minorHAnsi"/>
          <w:color w:val="000000"/>
        </w:rPr>
      </w:pPr>
      <w:r>
        <w:t xml:space="preserve">Teaching density from definitions and equations has consistently being shown to be less effective than methods that focus </w:t>
      </w:r>
      <w:r w:rsidR="000201CE">
        <w:t xml:space="preserve">first </w:t>
      </w:r>
      <w:r>
        <w:t xml:space="preserve">on developing a qualitative understanding of density </w:t>
      </w:r>
      <w:r w:rsidRPr="007C6A8A">
        <w:rPr>
          <w:rFonts w:cstheme="minorHAnsi"/>
          <w:color w:val="000000"/>
        </w:rPr>
        <w:fldChar w:fldCharType="begin">
          <w:fldData xml:space="preserve">PEVuZE5vdGU+PENpdGU+PEF1dGhvcj5TbWl0aDwvQXV0aG9yPjxZZWFyPjE5OTc8L1llYXI+PElE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</w:fldData>
        </w:fldChar>
      </w:r>
      <w:r>
        <w:rPr>
          <w:rFonts w:cstheme="minorHAnsi"/>
          <w:color w:val="000000"/>
        </w:rPr>
        <w:instrText xml:space="preserve"> ADDIN EN.CITE </w:instrText>
      </w:r>
      <w:r>
        <w:rPr>
          <w:rFonts w:cstheme="minorHAnsi"/>
          <w:color w:val="000000"/>
        </w:rPr>
        <w:fldChar w:fldCharType="begin">
          <w:fldData xml:space="preserve">PEVuZE5vdGU+PENpdGU+PEF1dGhvcj5TbWl0aDwvQXV0aG9yPjxZZWFyPjE5OTc8L1llYXI+PElE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</w:fldData>
        </w:fldChar>
      </w:r>
      <w:r>
        <w:rPr>
          <w:rFonts w:cstheme="minorHAnsi"/>
          <w:color w:val="000000"/>
        </w:rPr>
        <w:instrText xml:space="preserve"> ADDIN EN.CITE.DATA </w:instrText>
      </w:r>
      <w:r>
        <w:rPr>
          <w:rFonts w:cstheme="minorHAnsi"/>
          <w:color w:val="000000"/>
        </w:rPr>
      </w:r>
      <w:r>
        <w:rPr>
          <w:rFonts w:cstheme="minorHAnsi"/>
          <w:color w:val="000000"/>
        </w:rPr>
        <w:fldChar w:fldCharType="end"/>
      </w:r>
      <w:r w:rsidRPr="007C6A8A">
        <w:rPr>
          <w:rFonts w:cstheme="minorHAnsi"/>
          <w:color w:val="000000"/>
        </w:rPr>
      </w:r>
      <w:r w:rsidRPr="007C6A8A">
        <w:rPr>
          <w:rFonts w:cstheme="minorHAnsi"/>
          <w:color w:val="000000"/>
        </w:rPr>
        <w:fldChar w:fldCharType="separate"/>
      </w:r>
      <w:r>
        <w:rPr>
          <w:rFonts w:cstheme="minorHAnsi"/>
          <w:noProof/>
          <w:color w:val="000000"/>
        </w:rPr>
        <w:t>(Smith et al., 1997; Fassoulopoulos, Kariotoglou and Koumaras, 2003; Almuntasheri, Gillies and Wright, 2016; Hashweh, 2016)</w:t>
      </w:r>
      <w:r w:rsidRPr="007C6A8A">
        <w:rPr>
          <w:rFonts w:cstheme="minorHAnsi"/>
          <w:color w:val="000000"/>
        </w:rPr>
        <w:fldChar w:fldCharType="end"/>
      </w:r>
      <w:r w:rsidRPr="007C6A8A">
        <w:rPr>
          <w:rFonts w:cstheme="minorHAnsi"/>
          <w:color w:val="000000"/>
        </w:rPr>
        <w:t>.</w:t>
      </w:r>
      <w:r>
        <w:rPr>
          <w:rFonts w:cstheme="minorHAnsi"/>
          <w:color w:val="000000"/>
        </w:rPr>
        <w:t xml:space="preserve"> </w:t>
      </w:r>
    </w:p>
    <w:p w:rsidR="00FA0636" w:rsidRPr="003645A3" w:rsidRDefault="00FA0636" w:rsidP="00FA0636">
      <w:pPr>
        <w:spacing w:after="180"/>
      </w:pPr>
      <w:r>
        <w:t xml:space="preserve">The successful completion of practical work to measure density should not necessarily be taken as evidence that students understand the concept of density </w:t>
      </w:r>
      <w:r>
        <w:fldChar w:fldCharType="begin"/>
      </w:r>
      <w:r>
        <w:instrText xml:space="preserve"> ADDIN EN.CITE &lt;EndNote&gt;&lt;Cite&gt;&lt;Author&gt;Xu&lt;/Author&gt;&lt;Year&gt;2012&lt;/Year&gt;&lt;IDText&gt;Student difficulties in learning density: a distributed cognition perspective&lt;/IDText&gt;&lt;DisplayText&gt;(Xu and Clarke, 2012)&lt;/DisplayText&gt;&lt;record&gt;&lt;titles&gt;&lt;title&gt;Student difficulties in learning density: a distributed cognition perspective&lt;/title&gt;&lt;secondary-title&gt;Research in Science Education&lt;/secondary-title&gt;&lt;/titles&gt;&lt;pages&gt;769-789&lt;/pages&gt;&lt;contributors&gt;&lt;authors&gt;&lt;author&gt;Xu, L&lt;/author&gt;&lt;author&gt;Clarke, D&lt;/author&gt;&lt;/authors&gt;&lt;/contributors&gt;&lt;added-date format="utc"&gt;1597315098&lt;/added-date&gt;&lt;ref-type name="Journal Article"&gt;17&lt;/ref-type&gt;&lt;dates&gt;&lt;year&gt;2012&lt;/year&gt;&lt;/dates&gt;&lt;rec-number&gt;298&lt;/rec-number&gt;&lt;last-updated-date format="utc"&gt;1597327794&lt;/last-updated-date&gt;&lt;volume&gt;42&lt;/volume&gt;&lt;/record&gt;&lt;/Cite&gt;&lt;/EndNote&gt;</w:instrText>
      </w:r>
      <w:r>
        <w:fldChar w:fldCharType="separate"/>
      </w:r>
      <w:r>
        <w:rPr>
          <w:noProof/>
        </w:rPr>
        <w:t>(Xu and Clarke, 2012)</w:t>
      </w:r>
      <w:r>
        <w:fldChar w:fldCharType="end"/>
      </w:r>
      <w:r>
        <w:t xml:space="preserve">. Practical work </w:t>
      </w:r>
      <w:r w:rsidR="000201CE">
        <w:t>in which</w:t>
      </w:r>
      <w:r>
        <w:t xml:space="preserve"> mass and volume </w:t>
      </w:r>
      <w:r w:rsidR="000201CE">
        <w:t xml:space="preserve">are measured </w:t>
      </w:r>
      <w:r>
        <w:t xml:space="preserve">accurately </w:t>
      </w:r>
      <w:r w:rsidR="000201CE">
        <w:t>and</w:t>
      </w:r>
      <w:r>
        <w:t xml:space="preserve"> an equation </w:t>
      </w:r>
      <w:r w:rsidR="000201CE">
        <w:t xml:space="preserve">used </w:t>
      </w:r>
      <w:r>
        <w:t xml:space="preserve">to calculate density does not </w:t>
      </w:r>
      <w:r w:rsidR="000201CE">
        <w:t xml:space="preserve">either </w:t>
      </w:r>
      <w:r>
        <w:t xml:space="preserve">require </w:t>
      </w:r>
      <w:r w:rsidRPr="003645A3">
        <w:t xml:space="preserve">or develop </w:t>
      </w:r>
      <w:r w:rsidR="00535660">
        <w:t xml:space="preserve">an </w:t>
      </w:r>
      <w:r w:rsidRPr="003645A3">
        <w:t>under</w:t>
      </w:r>
      <w:r w:rsidR="000201CE">
        <w:t xml:space="preserve">standing of density. Instead students can complete such practical work using only </w:t>
      </w:r>
      <w:r w:rsidRPr="003645A3">
        <w:t>measurement skills and the application of mathematical operations.</w:t>
      </w:r>
    </w:p>
    <w:p w:rsidR="00FA0636" w:rsidRPr="00846B80" w:rsidRDefault="00FA0636" w:rsidP="00FA0636">
      <w:pPr>
        <w:spacing w:after="180"/>
        <w:rPr>
          <w:b/>
        </w:rPr>
      </w:pPr>
      <w:r w:rsidRPr="003645A3">
        <w:rPr>
          <w:b/>
        </w:rPr>
        <w:t>It is effective to develop a qualitative understanding of density before introducing quantitative calculations.</w:t>
      </w:r>
    </w:p>
    <w:p w:rsidR="00FA0636" w:rsidRDefault="00FA0636" w:rsidP="00FA0636">
      <w:pPr>
        <w:spacing w:after="180"/>
      </w:pPr>
      <w:r>
        <w:rPr>
          <w:rFonts w:cstheme="minorHAnsi"/>
          <w:color w:val="000000"/>
        </w:rPr>
        <w:t xml:space="preserve">A common misunderstanding amongst students is that weight and density are the same thing. This is perhaps linked to a tendency to define matter </w:t>
      </w:r>
      <w:r w:rsidR="0069512C">
        <w:rPr>
          <w:rFonts w:cstheme="minorHAnsi"/>
          <w:color w:val="000000"/>
        </w:rPr>
        <w:t xml:space="preserve">(including density) </w:t>
      </w:r>
      <w:r>
        <w:rPr>
          <w:rFonts w:cstheme="minorHAnsi"/>
          <w:color w:val="000000"/>
        </w:rPr>
        <w:t xml:space="preserve">in terms of tangible properties that can be sensed. </w:t>
      </w:r>
      <w:r>
        <w:t>Mass (weight) and volume can both be sensed and directly measured</w:t>
      </w:r>
      <w:r w:rsidR="0069512C">
        <w:t xml:space="preserve">. Mass and volume can also be defined as </w:t>
      </w:r>
      <w:r>
        <w:t>extensive quantities because they change with the amount of material. Density, by contrast, is an int</w:t>
      </w:r>
      <w:r w:rsidR="00456773">
        <w:t>ensive</w:t>
      </w:r>
      <w:r>
        <w:t xml:space="preserve"> quantity because it does not change with the amount of material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et al.,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et al., 1992)</w:t>
      </w:r>
      <w:r>
        <w:fldChar w:fldCharType="end"/>
      </w:r>
      <w:r>
        <w:t>. Int</w:t>
      </w:r>
      <w:r w:rsidR="00456773">
        <w:t>ensive</w:t>
      </w:r>
      <w:r>
        <w:t xml:space="preserve"> properties cannot be measured directly and are therefore harder to understand.</w:t>
      </w:r>
    </w:p>
    <w:p w:rsidR="00FA0636" w:rsidRPr="00BA126B" w:rsidRDefault="00FA0636" w:rsidP="00FA0636">
      <w:pPr>
        <w:spacing w:after="180"/>
        <w:rPr>
          <w:rFonts w:cstheme="minorHAnsi"/>
          <w:color w:val="000000"/>
        </w:rPr>
      </w:pPr>
      <w:r>
        <w:t xml:space="preserve">In a study of (n=296) </w:t>
      </w:r>
      <w:r>
        <w:rPr>
          <w:rFonts w:cstheme="minorHAnsi"/>
          <w:color w:val="000000"/>
        </w:rPr>
        <w:t xml:space="preserve">12- to 15-year-olds </w:t>
      </w:r>
      <w:r w:rsidR="00374EB3">
        <w:rPr>
          <w:rFonts w:cstheme="minorHAnsi"/>
          <w:noProof/>
          <w:color w:val="000000"/>
        </w:rPr>
        <w:t xml:space="preserve">Fassoulopoulos et al. </w:t>
      </w:r>
      <w:r>
        <w:rPr>
          <w:rFonts w:cstheme="minorHAnsi"/>
          <w:color w:val="000000"/>
        </w:rPr>
        <w:fldChar w:fldCharType="begin"/>
      </w:r>
      <w:r w:rsidR="00374EB3">
        <w:rPr>
          <w:rFonts w:cstheme="minorHAnsi"/>
          <w:color w:val="000000"/>
        </w:rPr>
        <w:instrText xml:space="preserve"> ADDIN EN.CITE &lt;EndNote&gt;&lt;Cite ExcludeAuth="1"&gt;&lt;Author&gt;Fassoulopoulos&lt;/Author&gt;&lt;Year&gt;2003&lt;/Year&gt;&lt;IDText&gt;Consistent and Inconsistent Pupils&amp;apos; Reasoning about Intensive Quantities: The Case of Density and Pressure&lt;/IDText&gt;&lt;DisplayText&gt;(2003)&lt;/DisplayText&gt;&lt;record&gt;&lt;titles&gt;&lt;title&gt;Consistent and Inconsistent Pupils&amp;apos; Reasoning about Intensive Quantities: The Case of Density and Pressure&lt;/title&gt;&lt;secondary-title&gt;Research in Science Education&lt;/secondary-title&gt;&lt;/titles&gt;&lt;pages&gt;71-87&lt;/pages&gt;&lt;contributors&gt;&lt;authors&gt;&lt;author&gt;Fassoulopoulos, G&lt;/author&gt;&lt;author&gt;Kariotoglou, P&lt;/author&gt;&lt;author&gt;Koumaras, P&lt;/author&gt;&lt;/authors&gt;&lt;/contributors&gt;&lt;added-date format="utc"&gt;1597660966&lt;/added-date&gt;&lt;ref-type name="Journal Article"&gt;17&lt;/ref-type&gt;&lt;dates&gt;&lt;year&gt;2003&lt;/year&gt;&lt;/dates&gt;&lt;rec-number&gt;301&lt;/rec-number&gt;&lt;last-updated-date format="utc"&gt;1597661184&lt;/last-updated-date&gt;&lt;volume&gt;33&lt;/volume&gt;&lt;/record&gt;&lt;/Cite&gt;&lt;/EndNote&gt;</w:instrText>
      </w:r>
      <w:r>
        <w:rPr>
          <w:rFonts w:cstheme="minorHAnsi"/>
          <w:color w:val="000000"/>
        </w:rPr>
        <w:fldChar w:fldCharType="separate"/>
      </w:r>
      <w:r w:rsidR="00374EB3">
        <w:rPr>
          <w:rFonts w:cstheme="minorHAnsi"/>
          <w:noProof/>
          <w:color w:val="000000"/>
        </w:rPr>
        <w:t>(2003)</w:t>
      </w:r>
      <w:r>
        <w:rPr>
          <w:rFonts w:cstheme="minorHAnsi"/>
          <w:color w:val="000000"/>
        </w:rPr>
        <w:fldChar w:fldCharType="end"/>
      </w:r>
      <w:r>
        <w:rPr>
          <w:rFonts w:cstheme="minorHAnsi"/>
          <w:color w:val="000000"/>
        </w:rPr>
        <w:t xml:space="preserve"> found that </w:t>
      </w:r>
      <w:r w:rsidRPr="00A8390C">
        <w:rPr>
          <w:rFonts w:cstheme="minorHAnsi"/>
          <w:color w:val="000000"/>
        </w:rPr>
        <w:t xml:space="preserve">54% </w:t>
      </w:r>
      <w:r>
        <w:rPr>
          <w:rFonts w:cstheme="minorHAnsi"/>
          <w:color w:val="000000"/>
        </w:rPr>
        <w:t xml:space="preserve">were able to describe density using the correct </w:t>
      </w:r>
      <w:r w:rsidRPr="00A8390C">
        <w:rPr>
          <w:rFonts w:cstheme="minorHAnsi"/>
          <w:color w:val="000000"/>
        </w:rPr>
        <w:t>scientific understanding</w:t>
      </w:r>
      <w:r>
        <w:rPr>
          <w:rFonts w:cstheme="minorHAnsi"/>
          <w:color w:val="000000"/>
        </w:rPr>
        <w:t xml:space="preserve">. These students used phrases like ‘it is heavy for its size’, or ‘it has more mass </w:t>
      </w:r>
      <w:r w:rsidR="0069512C">
        <w:rPr>
          <w:rFonts w:cstheme="minorHAnsi"/>
          <w:color w:val="000000"/>
        </w:rPr>
        <w:t xml:space="preserve">for </w:t>
      </w:r>
      <w:r>
        <w:rPr>
          <w:rFonts w:cstheme="minorHAnsi"/>
          <w:color w:val="000000"/>
        </w:rPr>
        <w:t>the same volume’. By contrast 24</w:t>
      </w:r>
      <w:r w:rsidRPr="00A8390C">
        <w:rPr>
          <w:rFonts w:cstheme="minorHAnsi"/>
          <w:color w:val="000000"/>
        </w:rPr>
        <w:t xml:space="preserve">% </w:t>
      </w:r>
      <w:r>
        <w:rPr>
          <w:rFonts w:cstheme="minorHAnsi"/>
          <w:color w:val="000000"/>
        </w:rPr>
        <w:t>of students in the study sometimes applied an understanding of density that showed they thought it changed in proportion to the amount of a substance.</w:t>
      </w:r>
    </w:p>
    <w:p w:rsidR="00FA0636" w:rsidRDefault="003505AA" w:rsidP="00FA0636">
      <w:pPr>
        <w:spacing w:after="180"/>
      </w:pPr>
      <w:r>
        <w:rPr>
          <w:noProof/>
        </w:rPr>
        <w:t>Seah, Clarke and Hart</w:t>
      </w:r>
      <w:r>
        <w:t xml:space="preserve"> </w:t>
      </w:r>
      <w:r w:rsidR="00FA0636">
        <w:fldChar w:fldCharType="begin"/>
      </w:r>
      <w:r>
        <w:instrText xml:space="preserve"> ADDIN EN.CITE &lt;EndNote&gt;&lt;Cite ExcludeAuth="1"&gt;&lt;Author&gt;Seah&lt;/Author&gt;&lt;Year&gt;2015&lt;/Year&gt;&lt;IDText&gt;Understanding middle school students&amp;apos; difficulties in explaining density differences from a language perspective&lt;/IDText&gt;&lt;DisplayText&gt;(2015)&lt;/DisplayText&gt;&lt;record&gt;&lt;titles&gt;&lt;title&gt;Understanding middle school students&amp;apos; difficulties in explaining density differences from a language perspective&lt;/title&gt;&lt;secondary-title&gt;International Journal of Science Education&lt;/secondary-title&gt;&lt;/titles&gt;&lt;pages&gt;2386-2409&lt;/pages&gt;&lt;contributors&gt;&lt;authors&gt;&lt;author&gt;Seah, L. H&lt;/author&gt;&lt;author&gt;Clarke, D&lt;/author&gt;&lt;author&gt;Hart, C&lt;/author&gt;&lt;/authors&gt;&lt;/contributors&gt;&lt;added-date format="utc"&gt;1597653465&lt;/added-date&gt;&lt;ref-type name="Journal Article"&gt;17&lt;/ref-type&gt;&lt;dates&gt;&lt;year&gt;2015&lt;/year&gt;&lt;/dates&gt;&lt;rec-number&gt;300&lt;/rec-number&gt;&lt;last-updated-date format="utc"&gt;1597653587&lt;/last-updated-date&gt;&lt;volume&gt;37(14)&lt;/volume&gt;&lt;/record&gt;&lt;/Cite&gt;&lt;/EndNote&gt;</w:instrText>
      </w:r>
      <w:r w:rsidR="00FA0636">
        <w:fldChar w:fldCharType="separate"/>
      </w:r>
      <w:r>
        <w:rPr>
          <w:noProof/>
        </w:rPr>
        <w:t>(2015)</w:t>
      </w:r>
      <w:r w:rsidR="00FA0636">
        <w:fldChar w:fldCharType="end"/>
      </w:r>
      <w:r w:rsidR="00FA0636">
        <w:t xml:space="preserve"> suggest that when volume is not mentioned in an explanation of density, it is not necessarily true that a student has not understand what density is. They may instead have not realised that </w:t>
      </w:r>
      <w:r w:rsidR="0088070A">
        <w:t>in a scientific definition there i</w:t>
      </w:r>
      <w:r w:rsidR="00FA0636">
        <w:t xml:space="preserve">s a need to include the condition about comparable volumes in their answer. </w:t>
      </w:r>
      <w:r w:rsidR="0088070A">
        <w:t>Definitions</w:t>
      </w:r>
      <w:r w:rsidR="00FA0636">
        <w:t xml:space="preserve"> of density need to include: per unit volume; if the volume of the objects is equal; or similar.</w:t>
      </w:r>
    </w:p>
    <w:p w:rsidR="00FA0636" w:rsidRDefault="00FA0636" w:rsidP="00FA0636">
      <w:pPr>
        <w:spacing w:after="180"/>
      </w:pPr>
      <w:r>
        <w:lastRenderedPageBreak/>
        <w:t xml:space="preserve">Modelling clear explanations for density can raise awareness in students of the need to be explicit about volume </w:t>
      </w:r>
      <w:r>
        <w:fldChar w:fldCharType="begin"/>
      </w:r>
      <w:r>
        <w:instrText xml:space="preserve"> ADDIN EN.CITE &lt;EndNote&gt;&lt;Cite&gt;&lt;Author&gt;Seah&lt;/Author&gt;&lt;Year&gt;2015&lt;/Year&gt;&lt;IDText&gt;Understanding middle school students&amp;apos; difficulties in explaining density differences from a language perspective&lt;/IDText&gt;&lt;DisplayText&gt;(Seah et al., 2015)&lt;/DisplayText&gt;&lt;record&gt;&lt;titles&gt;&lt;title&gt;Understanding middle school students&amp;apos; difficulties in explaining density differences from a language perspective&lt;/title&gt;&lt;secondary-title&gt;International Journal of Science Education&lt;/secondary-title&gt;&lt;/titles&gt;&lt;pages&gt;2386-2409&lt;/pages&gt;&lt;contributors&gt;&lt;authors&gt;&lt;author&gt;Seah, L. H&lt;/author&gt;&lt;author&gt;Clarke, D&lt;/author&gt;&lt;author&gt;Hart, C&lt;/author&gt;&lt;/authors&gt;&lt;/contributors&gt;&lt;added-date format="utc"&gt;1597653465&lt;/added-date&gt;&lt;ref-type name="Journal Article"&gt;17&lt;/ref-type&gt;&lt;dates&gt;&lt;year&gt;2015&lt;/year&gt;&lt;/dates&gt;&lt;rec-number&gt;300&lt;/rec-number&gt;&lt;last-updated-date format="utc"&gt;1597653587&lt;/last-updated-date&gt;&lt;volume&gt;37(14)&lt;/volume&gt;&lt;/record&gt;&lt;/Cite&gt;&lt;/EndNote&gt;</w:instrText>
      </w:r>
      <w:r>
        <w:fldChar w:fldCharType="separate"/>
      </w:r>
      <w:r>
        <w:rPr>
          <w:noProof/>
        </w:rPr>
        <w:t>(Seah et al., 2015)</w:t>
      </w:r>
      <w:r>
        <w:fldChar w:fldCharType="end"/>
      </w:r>
      <w:r>
        <w:t xml:space="preserve">. Students need to be actively engaged in thinking about how volume plays a role in determining density and given opportunity to explain density in their own words. Asking students to elaborate on answers in class or </w:t>
      </w:r>
      <w:r w:rsidR="00503530">
        <w:t xml:space="preserve">in </w:t>
      </w:r>
      <w:r>
        <w:t>small-group discussions allows them to rehearse their use of the language of scientific explanation, as well as indicating their ability to do so.</w:t>
      </w:r>
    </w:p>
    <w:p w:rsidR="00FA0636" w:rsidRDefault="0088070A" w:rsidP="00FA0636">
      <w:pPr>
        <w:autoSpaceDE w:val="0"/>
        <w:autoSpaceDN w:val="0"/>
        <w:adjustRightInd w:val="0"/>
        <w:spacing w:after="180"/>
        <w:rPr>
          <w:rFonts w:cstheme="minorHAnsi"/>
          <w:color w:val="000000"/>
        </w:rPr>
      </w:pPr>
      <w:r>
        <w:rPr>
          <w:rFonts w:cstheme="minorHAnsi"/>
          <w:color w:val="000000"/>
        </w:rPr>
        <w:t>A focus on developing q</w:t>
      </w:r>
      <w:r w:rsidR="00FA0636">
        <w:rPr>
          <w:rFonts w:cstheme="minorHAnsi"/>
          <w:color w:val="000000"/>
        </w:rPr>
        <w:t xml:space="preserve">ualitative reasoning can help students </w:t>
      </w:r>
      <w:r>
        <w:rPr>
          <w:rFonts w:cstheme="minorHAnsi"/>
          <w:color w:val="000000"/>
        </w:rPr>
        <w:t xml:space="preserve">to </w:t>
      </w:r>
      <w:r w:rsidR="00FA0636">
        <w:rPr>
          <w:rFonts w:cstheme="minorHAnsi"/>
          <w:color w:val="000000"/>
        </w:rPr>
        <w:t xml:space="preserve">bridge the gap between their starting conceptions and </w:t>
      </w:r>
      <w:r>
        <w:rPr>
          <w:rFonts w:cstheme="minorHAnsi"/>
          <w:color w:val="000000"/>
        </w:rPr>
        <w:t xml:space="preserve">more </w:t>
      </w:r>
      <w:r w:rsidR="00FA0636">
        <w:rPr>
          <w:rFonts w:cstheme="minorHAnsi"/>
          <w:color w:val="000000"/>
        </w:rPr>
        <w:t xml:space="preserve">formal quantitative reasoning. </w:t>
      </w:r>
      <w:r>
        <w:rPr>
          <w:rFonts w:cstheme="minorHAnsi"/>
          <w:color w:val="000000"/>
        </w:rPr>
        <w:t>This might start with</w:t>
      </w:r>
      <w:r w:rsidR="00FA0636">
        <w:rPr>
          <w:rFonts w:cstheme="minorHAnsi"/>
          <w:color w:val="000000"/>
        </w:rPr>
        <w:t xml:space="preserve"> an understanding that if one of two objects of equal size is heavier, it is made of a heavier kind of material. Second, that if two objects have the same weight but are each a different size, the smaller one is made of a heavier kind of material. Third, if two objects are made of the same kind of material, they have the same density because equal-sized pieces would have the same weight. </w:t>
      </w:r>
      <w:r w:rsidR="00FA0636">
        <w:rPr>
          <w:rFonts w:cstheme="minorHAnsi"/>
          <w:color w:val="000000"/>
        </w:rPr>
        <w:fldChar w:fldCharType="begin"/>
      </w:r>
      <w:r w:rsidR="00FA0636">
        <w:rPr>
          <w:rFonts w:cstheme="minorHAnsi"/>
          <w:color w:val="000000"/>
        </w:rPr>
        <w:instrText xml:space="preserve"> ADDIN EN.CITE &lt;EndNote&gt;&lt;Cite&gt;&lt;Author&gt;Smith&lt;/Author&gt;&lt;Year&gt;1997&lt;/Year&gt;&lt;IDText&gt;Teaching for understanding: a study of students&amp;apos; preinstruction theories of matter and a comparison of the effectiveness of two approaches to teaching about matter and density&lt;/IDText&gt;&lt;DisplayText&gt;(Smith et al., 1997)&lt;/DisplayText&gt;&lt;record&gt;&lt;titles&gt;&lt;title&gt;Teaching for understanding: a study of students&amp;apos; preinstruction theories of matter and a comparison of the effectiveness of two approaches to teaching about matter and density&lt;/title&gt;&lt;secondary-title&gt;Cognition and Instruction&lt;/secondary-title&gt;&lt;/titles&gt;&lt;pages&gt;317-393&lt;/pages&gt;&lt;contributors&gt;&lt;authors&gt;&lt;author&gt;Smith, C&lt;/author&gt;&lt;author&gt;Maclin, D&lt;/author&gt;&lt;author&gt;Grosslight, L&lt;/author&gt;&lt;author&gt;Davis, H&lt;/author&gt;&lt;/authors&gt;&lt;/contributors&gt;&lt;added-date format="utc"&gt;1597321190&lt;/added-date&gt;&lt;ref-type name="Journal Article"&gt;17&lt;/ref-type&gt;&lt;dates&gt;&lt;year&gt;1997&lt;/year&gt;&lt;/dates&gt;&lt;rec-number&gt;299&lt;/rec-number&gt;&lt;last-updated-date format="utc"&gt;1597327794&lt;/last-updated-date&gt;&lt;volume&gt;15(3)&lt;/volume&gt;&lt;/record&gt;&lt;/Cite&gt;&lt;/EndNote&gt;</w:instrText>
      </w:r>
      <w:r w:rsidR="00FA0636">
        <w:rPr>
          <w:rFonts w:cstheme="minorHAnsi"/>
          <w:color w:val="000000"/>
        </w:rPr>
        <w:fldChar w:fldCharType="separate"/>
      </w:r>
      <w:r w:rsidR="00FA0636">
        <w:rPr>
          <w:rFonts w:cstheme="minorHAnsi"/>
          <w:noProof/>
          <w:color w:val="000000"/>
        </w:rPr>
        <w:t>(Smith et al., 1997)</w:t>
      </w:r>
      <w:r w:rsidR="00FA0636">
        <w:rPr>
          <w:rFonts w:cstheme="minorHAnsi"/>
          <w:color w:val="000000"/>
        </w:rPr>
        <w:fldChar w:fldCharType="end"/>
      </w:r>
    </w:p>
    <w:p w:rsidR="00FA0636" w:rsidRPr="005C43F7" w:rsidRDefault="00FA0636" w:rsidP="00FA0636">
      <w:pPr>
        <w:spacing w:after="180"/>
        <w:rPr>
          <w:b/>
        </w:rPr>
      </w:pPr>
      <w:r w:rsidRPr="005C43F7">
        <w:rPr>
          <w:b/>
        </w:rPr>
        <w:t>Particle model of density</w:t>
      </w:r>
    </w:p>
    <w:p w:rsidR="00FA0636" w:rsidRPr="00EB7A49" w:rsidRDefault="00FA0636" w:rsidP="00FA0636">
      <w:pPr>
        <w:autoSpaceDE w:val="0"/>
        <w:autoSpaceDN w:val="0"/>
        <w:adjustRightInd w:val="0"/>
        <w:spacing w:after="180"/>
        <w:rPr>
          <w:rFonts w:cstheme="minorHAnsi"/>
          <w:color w:val="000000"/>
        </w:rPr>
      </w:pPr>
      <w:r>
        <w:rPr>
          <w:rFonts w:cstheme="minorHAnsi"/>
          <w:color w:val="000000"/>
        </w:rPr>
        <w:t>An understanding of particles is not necessary to understand density, but t</w:t>
      </w:r>
      <w:r>
        <w:t xml:space="preserve">o understand </w:t>
      </w:r>
      <w:r w:rsidRPr="0070758F">
        <w:rPr>
          <w:i/>
        </w:rPr>
        <w:t>why</w:t>
      </w:r>
      <w:r>
        <w:t xml:space="preserve"> the density of one material is different to the density of another, students need to use the particle model. They also need to understand that even sub-microscopic particles have a mass and volume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et al.,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et al., 1992)</w:t>
      </w:r>
      <w:r>
        <w:fldChar w:fldCharType="end"/>
      </w:r>
      <w:r>
        <w:t xml:space="preserve">. </w:t>
      </w:r>
      <w:r w:rsidR="008F7AE1">
        <w:t xml:space="preserve">Smith et al. </w:t>
      </w:r>
      <w:r w:rsidR="008F7AE1">
        <w:fldChar w:fldCharType="begin"/>
      </w:r>
      <w:r w:rsidR="008F7AE1">
        <w:instrText xml:space="preserve"> ADDIN EN.CITE &lt;EndNote&gt;&lt;Cite ExcludeAuth="1"&gt;&lt;Author&gt;Smith&lt;/Author&gt;&lt;Year&gt;1997&lt;/Year&gt;&lt;IDText&gt;Teaching for understanding: a study of students&amp;apos; preinstruction theories of matter and a comparison of the effectiveness of two approaches to teaching about matter and density&lt;/IDText&gt;&lt;DisplayText&gt;(1997)&lt;/DisplayText&gt;&lt;record&gt;&lt;titles&gt;&lt;title&gt;Teaching for understanding: a study of students&amp;apos; preinstruction theories of matter and a comparison of the effectiveness of two approaches to teaching about matter and density&lt;/title&gt;&lt;secondary-title&gt;Cognition and Instruction&lt;/secondary-title&gt;&lt;/titles&gt;&lt;pages&gt;317-393&lt;/pages&gt;&lt;contributors&gt;&lt;authors&gt;&lt;author&gt;Smith, C&lt;/author&gt;&lt;author&gt;Maclin, D&lt;/author&gt;&lt;author&gt;Grosslight, L&lt;/author&gt;&lt;author&gt;Davis, H&lt;/author&gt;&lt;/authors&gt;&lt;/contributors&gt;&lt;added-date format="utc"&gt;1597321190&lt;/added-date&gt;&lt;ref-type name="Journal Article"&gt;17&lt;/ref-type&gt;&lt;dates&gt;&lt;year&gt;1997&lt;/year&gt;&lt;/dates&gt;&lt;rec-number&gt;299&lt;/rec-number&gt;&lt;last-updated-date format="utc"&gt;1597327794&lt;/last-updated-date&gt;&lt;volume&gt;15(3)&lt;/volume&gt;&lt;/record&gt;&lt;/Cite&gt;&lt;/EndNote&gt;</w:instrText>
      </w:r>
      <w:r w:rsidR="008F7AE1">
        <w:fldChar w:fldCharType="separate"/>
      </w:r>
      <w:r w:rsidR="008F7AE1">
        <w:rPr>
          <w:noProof/>
        </w:rPr>
        <w:t>(1997)</w:t>
      </w:r>
      <w:r w:rsidR="008F7AE1">
        <w:fldChar w:fldCharType="end"/>
      </w:r>
      <w:r w:rsidR="008F7AE1">
        <w:t xml:space="preserve"> </w:t>
      </w:r>
      <w:r w:rsidR="00B54DD5">
        <w:t>found</w:t>
      </w:r>
      <w:r w:rsidR="008F7AE1">
        <w:t xml:space="preserve"> </w:t>
      </w:r>
      <w:r w:rsidR="004C6DBC">
        <w:t xml:space="preserve">that </w:t>
      </w:r>
      <w:r w:rsidR="00AB6385">
        <w:t xml:space="preserve">although these concepts are often assumed when density is taught, 27% of 12- to 13-year-olds (n=30) do not hold them. </w:t>
      </w:r>
      <w:r w:rsidR="00B54DD5">
        <w:t>In their study</w:t>
      </w:r>
      <w:r w:rsidR="00AB6385">
        <w:t xml:space="preserve"> they found that</w:t>
      </w:r>
      <w:r w:rsidR="00B54DD5">
        <w:t xml:space="preserve"> g</w:t>
      </w:r>
      <w:r w:rsidR="004C6DBC">
        <w:t>iving students opportunity to address the</w:t>
      </w:r>
      <w:r w:rsidR="00AB6385">
        <w:t>se</w:t>
      </w:r>
      <w:r w:rsidR="004C6DBC">
        <w:t xml:space="preserve"> concepts </w:t>
      </w:r>
      <w:r w:rsidR="00AB6385">
        <w:t xml:space="preserve">directly </w:t>
      </w:r>
      <w:r w:rsidR="004C6DBC">
        <w:t>led to a more robust understanding of density.</w:t>
      </w:r>
    </w:p>
    <w:p w:rsidR="00FA0636" w:rsidRDefault="00FA0636" w:rsidP="00FA0636">
      <w:pPr>
        <w:spacing w:after="180"/>
      </w:pPr>
      <w:r>
        <w:t xml:space="preserve">The particle model of matter can represent how closely particles are packed together, which together with the mass of each particle explains the density of a material. </w:t>
      </w:r>
      <w:r>
        <w:rPr>
          <w:rFonts w:cstheme="minorHAnsi"/>
          <w:color w:val="000000"/>
        </w:rPr>
        <w:t>Density is a joint function of mass of particles and their spatial arrangement, which is affected by temperature and pressure.</w:t>
      </w:r>
      <w:r w:rsidRPr="006434B5">
        <w:rPr>
          <w:rFonts w:cstheme="minorHAnsi"/>
          <w:color w:val="000000"/>
        </w:rPr>
        <w:t xml:space="preserve"> </w:t>
      </w:r>
      <w:r>
        <w:rPr>
          <w:rFonts w:cstheme="minorHAnsi"/>
          <w:color w:val="000000"/>
        </w:rPr>
        <w:t>An understanding of particles provides students with powerful tools for thi</w:t>
      </w:r>
      <w:r w:rsidR="00864EB0">
        <w:rPr>
          <w:rFonts w:cstheme="minorHAnsi"/>
          <w:color w:val="000000"/>
        </w:rPr>
        <w:t>nking about changes of density.</w:t>
      </w:r>
      <w:r w:rsidR="00AE56B5">
        <w:rPr>
          <w:rFonts w:cstheme="minorHAnsi"/>
          <w:color w:val="000000"/>
        </w:rPr>
        <w:t xml:space="preserve"> </w:t>
      </w:r>
      <w:r w:rsidR="00AE56B5">
        <w:rPr>
          <w:rFonts w:cstheme="minorHAnsi"/>
          <w:color w:val="000000"/>
        </w:rPr>
        <w:fldChar w:fldCharType="begin"/>
      </w:r>
      <w:r w:rsidR="00AE56B5">
        <w:rPr>
          <w:rFonts w:cstheme="minorHAnsi"/>
          <w:color w:val="000000"/>
        </w:rPr>
        <w:instrText xml:space="preserve"> ADDIN EN.CITE &lt;EndNote&gt;&lt;Cite&gt;&lt;Author&gt;Smith&lt;/Author&gt;&lt;Year&gt;1992&lt;/Year&gt;&lt;IDText&gt;Using conceptual models to facilitate conceptual change: the case of weight-density differentiation&lt;/IDText&gt;&lt;DisplayText&gt;(Smith et al.,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rsidR="00AE56B5">
        <w:rPr>
          <w:rFonts w:cstheme="minorHAnsi"/>
          <w:color w:val="000000"/>
        </w:rPr>
        <w:fldChar w:fldCharType="separate"/>
      </w:r>
      <w:r w:rsidR="00AE56B5">
        <w:rPr>
          <w:rFonts w:cstheme="minorHAnsi"/>
          <w:noProof/>
          <w:color w:val="000000"/>
        </w:rPr>
        <w:t>(Smith et al., 1992)</w:t>
      </w:r>
      <w:r w:rsidR="00AE56B5">
        <w:rPr>
          <w:rFonts w:cstheme="minorHAnsi"/>
          <w:color w:val="000000"/>
        </w:rPr>
        <w:fldChar w:fldCharType="end"/>
      </w:r>
      <w:r>
        <w:rPr>
          <w:rFonts w:cstheme="minorHAnsi"/>
          <w:color w:val="000000"/>
        </w:rPr>
        <w:fldChar w:fldCharType="begin"/>
      </w:r>
      <w:r>
        <w:rPr>
          <w:rFonts w:cstheme="minorHAnsi"/>
          <w:color w:val="000000"/>
        </w:rPr>
        <w:instrText xml:space="preserve"> ADDIN EN.CITE &lt;EndNote&gt;&lt;Cite&gt;&lt;Author&gt;Smith&lt;/Author&gt;&lt;Year&gt;1992&lt;/Year&gt;&lt;IDText&gt;Using conceptual models to facilitate conceptual change: the case of weight-density differentiation&lt;/IDText&gt;&lt;DisplayText&gt;(Smith et al.,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rPr>
          <w:rFonts w:cstheme="minorHAnsi"/>
          <w:color w:val="000000"/>
        </w:rPr>
        <w:fldChar w:fldCharType="end"/>
      </w:r>
    </w:p>
    <w:p w:rsidR="00FA0636" w:rsidRPr="006434B5" w:rsidRDefault="00FA0636" w:rsidP="00FA0636">
      <w:pPr>
        <w:autoSpaceDE w:val="0"/>
        <w:autoSpaceDN w:val="0"/>
        <w:adjustRightInd w:val="0"/>
        <w:spacing w:after="180"/>
        <w:rPr>
          <w:rFonts w:cstheme="minorHAnsi"/>
          <w:b/>
          <w:color w:val="000000"/>
        </w:rPr>
      </w:pPr>
      <w:r w:rsidRPr="006434B5">
        <w:rPr>
          <w:rFonts w:cstheme="minorHAnsi"/>
          <w:b/>
          <w:color w:val="000000"/>
        </w:rPr>
        <w:t>Applying a particle model of density</w:t>
      </w:r>
    </w:p>
    <w:p w:rsidR="00FA0636" w:rsidRDefault="00FA0636" w:rsidP="00FA0636">
      <w:pPr>
        <w:spacing w:after="180"/>
      </w:pPr>
      <w:r>
        <w:t xml:space="preserve">Students need opportunity to test out and consolidate their understanding of density in a range of different situations. When a class of (n=36) 15- to 16-year-olds were shown a block of ice floating on water and asked to draw diagrams </w:t>
      </w:r>
      <w:r w:rsidR="000A5A93">
        <w:t xml:space="preserve">to represent particles in </w:t>
      </w:r>
      <w:r>
        <w:t xml:space="preserve">the ice and the water, their drawings showed particles closer together in ice than in water </w:t>
      </w:r>
      <w:r>
        <w:fldChar w:fldCharType="begin"/>
      </w:r>
      <w:r>
        <w:instrText xml:space="preserve"> ADDIN EN.CITE &lt;EndNote&gt;&lt;Cite&gt;&lt;Author&gt;Mortimer&lt;/Author&gt;&lt;Year&gt;2000&lt;/Year&gt;&lt;IDText&gt;Anomalies and Conflicts in Classroom Discourse&lt;/IDText&gt;&lt;DisplayText&gt;(Mortimer and Machado, 2000)&lt;/DisplayText&gt;&lt;record&gt;&lt;titles&gt;&lt;title&gt;Anomalies and Conflicts in Classroom Discourse&lt;/title&gt;&lt;secondary-title&gt;Science Education&lt;/secondary-title&gt;&lt;/titles&gt;&lt;pages&gt;429-444&lt;/pages&gt;&lt;contributors&gt;&lt;authors&gt;&lt;author&gt;Mortimer, E. F&lt;/author&gt;&lt;author&gt;Machado, A. H&lt;/author&gt;&lt;/authors&gt;&lt;/contributors&gt;&lt;added-date format="utc"&gt;1571658212&lt;/added-date&gt;&lt;ref-type name="Journal Article"&gt;17&lt;/ref-type&gt;&lt;dates&gt;&lt;year&gt;2000&lt;/year&gt;&lt;/dates&gt;&lt;rec-number&gt;167&lt;/rec-number&gt;&lt;last-updated-date format="utc"&gt;1571658513&lt;/last-updated-date&gt;&lt;volume&gt;84(4)&lt;/volume&gt;&lt;/record&gt;&lt;/Cite&gt;&lt;/EndNote&gt;</w:instrText>
      </w:r>
      <w:r>
        <w:fldChar w:fldCharType="separate"/>
      </w:r>
      <w:r>
        <w:rPr>
          <w:noProof/>
        </w:rPr>
        <w:t>(Mortimer and Machado, 2000)</w:t>
      </w:r>
      <w:r>
        <w:fldChar w:fldCharType="end"/>
      </w:r>
      <w:r>
        <w:t>. Only when asked whether ice was more or less dense than water did some realise their error.</w:t>
      </w:r>
      <w:r w:rsidR="000A5A93">
        <w:t xml:space="preserve"> This example illustrates the truism that in solving a physics problem it is always good practice to consider whether or not the final answer is reasonable.</w:t>
      </w:r>
    </w:p>
    <w:p w:rsidR="00FB1FF6" w:rsidRPr="0022442F" w:rsidRDefault="00FB1FF6" w:rsidP="00072383">
      <w:pPr>
        <w:spacing w:before="360" w:after="180"/>
        <w:rPr>
          <w:b/>
          <w:color w:val="5F497A" w:themeColor="accent4" w:themeShade="BF"/>
          <w:sz w:val="24"/>
        </w:rPr>
      </w:pPr>
      <w:r w:rsidRPr="0022442F">
        <w:rPr>
          <w:b/>
          <w:color w:val="5F497A" w:themeColor="accent4" w:themeShade="BF"/>
          <w:sz w:val="24"/>
        </w:rPr>
        <w:t>Guidance notes</w:t>
      </w:r>
    </w:p>
    <w:p w:rsidR="00C52E77" w:rsidRDefault="00C52E77" w:rsidP="00C52E77">
      <w:pPr>
        <w:spacing w:after="180"/>
      </w:pPr>
      <w:r>
        <w:t>In this key concept, the term particle describes an atom, an ion or a molecule.</w:t>
      </w:r>
    </w:p>
    <w:p w:rsidR="00AB7B26" w:rsidRDefault="00AB7B26" w:rsidP="00FB1FF6">
      <w:pPr>
        <w:spacing w:after="180"/>
      </w:pPr>
      <w:r>
        <w:t>Th</w:t>
      </w:r>
      <w:r w:rsidR="00AC0499">
        <w:t>e</w:t>
      </w:r>
      <w:r>
        <w:t xml:space="preserve"> </w:t>
      </w:r>
      <w:r w:rsidR="00864EB0">
        <w:t xml:space="preserve">BEST </w:t>
      </w:r>
      <w:r>
        <w:t>topic</w:t>
      </w:r>
      <w:r w:rsidR="00864EB0">
        <w:t>:</w:t>
      </w:r>
      <w:r w:rsidR="00AC0499">
        <w:t xml:space="preserve"> </w:t>
      </w:r>
      <w:r w:rsidR="00AC0499" w:rsidRPr="00AC0499">
        <w:rPr>
          <w:i/>
        </w:rPr>
        <w:t>Particle explanations</w:t>
      </w:r>
      <w:r w:rsidR="00AC0499">
        <w:t>, of whi</w:t>
      </w:r>
      <w:r w:rsidR="00C52E77">
        <w:t>ch this key concept is a part</w:t>
      </w:r>
      <w:r w:rsidR="00AC0499">
        <w:t xml:space="preserve">, </w:t>
      </w:r>
      <w:r>
        <w:t>uses the particle model to develop a deeper qualitative understanding of both density and pressure, in order to develop insights that are useful for solving quantitative calculations.</w:t>
      </w:r>
    </w:p>
    <w:p w:rsidR="00456836" w:rsidRDefault="007C5937" w:rsidP="00FB1FF6">
      <w:pPr>
        <w:spacing w:after="180"/>
      </w:pPr>
      <w:r>
        <w:lastRenderedPageBreak/>
        <w:t xml:space="preserve">Density </w:t>
      </w:r>
      <w:r w:rsidRPr="000B2458">
        <w:t>can be explained in terms of</w:t>
      </w:r>
      <w:r>
        <w:t xml:space="preserve"> the mass </w:t>
      </w:r>
      <w:r w:rsidR="000B2458">
        <w:t xml:space="preserve">of particles and </w:t>
      </w:r>
      <w:r w:rsidR="00AB7E6B">
        <w:t>their spatial</w:t>
      </w:r>
      <w:r w:rsidR="000B2458">
        <w:t xml:space="preserve"> arrange</w:t>
      </w:r>
      <w:r w:rsidR="00AB7E6B">
        <w:t>ment</w:t>
      </w:r>
      <w:r w:rsidR="000B2458">
        <w:t xml:space="preserve">. Pressure in a gas can be explained in terms of the </w:t>
      </w:r>
      <w:r w:rsidR="00AB7E6B">
        <w:t>spacing (</w:t>
      </w:r>
      <w:r w:rsidR="000B2458">
        <w:t>density</w:t>
      </w:r>
      <w:r w:rsidR="00AB7E6B">
        <w:t>)</w:t>
      </w:r>
      <w:r w:rsidR="000B2458">
        <w:t xml:space="preserve"> of particles and their motion. Th</w:t>
      </w:r>
      <w:r w:rsidR="00AC0499">
        <w:t>e particle</w:t>
      </w:r>
      <w:r w:rsidR="000B2458">
        <w:t xml:space="preserve"> model also explains changes to the pressure of a gas if it is: compressed or allowed to expand; or if it is heated or allowed to cool.</w:t>
      </w:r>
      <w:r w:rsidR="00AB7E6B">
        <w:t xml:space="preserve"> In their later studies, some students will build on these explanations in order to understand the gas laws and the equations of an ideal gas.</w:t>
      </w:r>
    </w:p>
    <w:p w:rsidR="00FB1FF6" w:rsidRPr="008A4BCA" w:rsidRDefault="00FB1FF6" w:rsidP="00072383">
      <w:pPr>
        <w:spacing w:before="360" w:after="180"/>
        <w:rPr>
          <w:b/>
          <w:color w:val="5F497A" w:themeColor="accent4" w:themeShade="BF"/>
          <w:sz w:val="24"/>
        </w:rPr>
      </w:pPr>
      <w:r>
        <w:rPr>
          <w:b/>
          <w:color w:val="5F497A" w:themeColor="accent4" w:themeShade="BF"/>
          <w:sz w:val="24"/>
        </w:rPr>
        <w:t>References</w:t>
      </w:r>
    </w:p>
    <w:p w:rsidR="008F7AE1" w:rsidRPr="008F7AE1" w:rsidRDefault="00FA0636" w:rsidP="00994160">
      <w:pPr>
        <w:pStyle w:val="EndNoteBibliography"/>
        <w:spacing w:after="120"/>
        <w:ind w:left="425" w:hanging="425"/>
      </w:pPr>
      <w:r>
        <w:fldChar w:fldCharType="begin"/>
      </w:r>
      <w:r>
        <w:instrText xml:space="preserve"> ADDIN EN.REFLIST </w:instrText>
      </w:r>
      <w:r>
        <w:fldChar w:fldCharType="separate"/>
      </w:r>
      <w:r w:rsidR="008F7AE1" w:rsidRPr="008F7AE1">
        <w:t xml:space="preserve">Almuntasheri, S., Gillies, R. M. and Wright, T. (2016). The effectiveness of a guided inquiry-based, teachers' professional development programme on Saudi students' understanding of density. </w:t>
      </w:r>
      <w:r w:rsidR="008F7AE1" w:rsidRPr="008F7AE1">
        <w:rPr>
          <w:i/>
        </w:rPr>
        <w:t>Science Education International,</w:t>
      </w:r>
      <w:r w:rsidR="008F7AE1" w:rsidRPr="008F7AE1">
        <w:t xml:space="preserve"> 27(1)</w:t>
      </w:r>
      <w:r w:rsidR="008F7AE1" w:rsidRPr="008F7AE1">
        <w:rPr>
          <w:b/>
        </w:rPr>
        <w:t>,</w:t>
      </w:r>
      <w:r w:rsidR="008F7AE1" w:rsidRPr="008F7AE1">
        <w:t xml:space="preserve"> 16-39.</w:t>
      </w:r>
    </w:p>
    <w:p w:rsidR="008F7AE1" w:rsidRPr="008F7AE1" w:rsidRDefault="008F7AE1" w:rsidP="00994160">
      <w:pPr>
        <w:pStyle w:val="EndNoteBibliography"/>
        <w:spacing w:after="120"/>
        <w:ind w:left="425" w:hanging="425"/>
      </w:pPr>
      <w:r w:rsidRPr="008F7AE1">
        <w:t xml:space="preserve">Fassoulopoulos, G., Kariotoglou, P. and Koumaras, P. (2003). Consistent and Inconsistent Pupils' Reasoning about Intensive Quantities: The Case of Density and Pressure. </w:t>
      </w:r>
      <w:r w:rsidRPr="008F7AE1">
        <w:rPr>
          <w:i/>
        </w:rPr>
        <w:t>Research in Science Education,</w:t>
      </w:r>
      <w:r w:rsidRPr="008F7AE1">
        <w:t xml:space="preserve"> 33</w:t>
      </w:r>
      <w:r w:rsidRPr="008F7AE1">
        <w:rPr>
          <w:b/>
        </w:rPr>
        <w:t>,</w:t>
      </w:r>
      <w:r w:rsidRPr="008F7AE1">
        <w:t xml:space="preserve"> 71-87.</w:t>
      </w:r>
    </w:p>
    <w:p w:rsidR="008F7AE1" w:rsidRPr="008F7AE1" w:rsidRDefault="008F7AE1" w:rsidP="00994160">
      <w:pPr>
        <w:pStyle w:val="EndNoteBibliography"/>
        <w:spacing w:after="120"/>
        <w:ind w:left="425" w:hanging="425"/>
      </w:pPr>
      <w:r w:rsidRPr="008F7AE1">
        <w:t xml:space="preserve">Hashweh, M. Z. (2016). The complexity of teaching density in middle school. </w:t>
      </w:r>
      <w:r w:rsidRPr="008F7AE1">
        <w:rPr>
          <w:i/>
        </w:rPr>
        <w:t>Research in Science and Technological Education,</w:t>
      </w:r>
      <w:r w:rsidRPr="008F7AE1">
        <w:t xml:space="preserve"> 34(1)</w:t>
      </w:r>
      <w:r w:rsidRPr="008F7AE1">
        <w:rPr>
          <w:b/>
        </w:rPr>
        <w:t>,</w:t>
      </w:r>
      <w:r w:rsidRPr="008F7AE1">
        <w:t xml:space="preserve"> 1-24.</w:t>
      </w:r>
    </w:p>
    <w:p w:rsidR="008F7AE1" w:rsidRPr="008F7AE1" w:rsidRDefault="008F7AE1" w:rsidP="00994160">
      <w:pPr>
        <w:pStyle w:val="EndNoteBibliography"/>
        <w:spacing w:after="120"/>
        <w:ind w:left="425" w:hanging="425"/>
      </w:pPr>
      <w:r w:rsidRPr="008F7AE1">
        <w:t xml:space="preserve">Mortimer, E. F. and Machado, A. H. (2000). Anomalies and Conflicts in Classroom Discourse. </w:t>
      </w:r>
      <w:r w:rsidRPr="008F7AE1">
        <w:rPr>
          <w:i/>
        </w:rPr>
        <w:t>Science Education,</w:t>
      </w:r>
      <w:r w:rsidRPr="008F7AE1">
        <w:t xml:space="preserve"> 84(4)</w:t>
      </w:r>
      <w:r w:rsidRPr="008F7AE1">
        <w:rPr>
          <w:b/>
        </w:rPr>
        <w:t>,</w:t>
      </w:r>
      <w:r w:rsidRPr="008F7AE1">
        <w:t xml:space="preserve"> 429-444.</w:t>
      </w:r>
    </w:p>
    <w:p w:rsidR="008F7AE1" w:rsidRPr="008F7AE1" w:rsidRDefault="008F7AE1" w:rsidP="00994160">
      <w:pPr>
        <w:pStyle w:val="EndNoteBibliography"/>
        <w:spacing w:after="120"/>
        <w:ind w:left="425" w:hanging="425"/>
      </w:pPr>
      <w:r w:rsidRPr="008F7AE1">
        <w:t xml:space="preserve">Seah, L. H., Clarke, D. and Hart, C. (2015). Understanding middle school students' difficulties in explaining density differences from a language perspective. </w:t>
      </w:r>
      <w:r w:rsidRPr="008F7AE1">
        <w:rPr>
          <w:i/>
        </w:rPr>
        <w:t>International Journal of Science Education,</w:t>
      </w:r>
      <w:r w:rsidRPr="008F7AE1">
        <w:t xml:space="preserve"> 37(14)</w:t>
      </w:r>
      <w:r w:rsidRPr="008F7AE1">
        <w:rPr>
          <w:b/>
        </w:rPr>
        <w:t>,</w:t>
      </w:r>
      <w:r w:rsidRPr="008F7AE1">
        <w:t xml:space="preserve"> 2386-2409.</w:t>
      </w:r>
    </w:p>
    <w:p w:rsidR="008F7AE1" w:rsidRPr="008F7AE1" w:rsidRDefault="008F7AE1" w:rsidP="00994160">
      <w:pPr>
        <w:pStyle w:val="EndNoteBibliography"/>
        <w:spacing w:after="120"/>
        <w:ind w:left="425" w:hanging="425"/>
      </w:pPr>
      <w:r w:rsidRPr="008F7AE1">
        <w:t xml:space="preserve">Smith, C., et al. (1997). Teaching for understanding: a study of students' preinstruction theories of matter and a comparison of the effectiveness of two approaches to teaching about matter and density. </w:t>
      </w:r>
      <w:r w:rsidRPr="008F7AE1">
        <w:rPr>
          <w:i/>
        </w:rPr>
        <w:t>Cognition and Instruction,</w:t>
      </w:r>
      <w:r w:rsidRPr="008F7AE1">
        <w:t xml:space="preserve"> 15(3)</w:t>
      </w:r>
      <w:r w:rsidRPr="008F7AE1">
        <w:rPr>
          <w:b/>
        </w:rPr>
        <w:t>,</w:t>
      </w:r>
      <w:r w:rsidRPr="008F7AE1">
        <w:t xml:space="preserve"> 317-393.</w:t>
      </w:r>
    </w:p>
    <w:p w:rsidR="008F7AE1" w:rsidRPr="008F7AE1" w:rsidRDefault="008F7AE1" w:rsidP="00994160">
      <w:pPr>
        <w:pStyle w:val="EndNoteBibliography"/>
        <w:spacing w:after="120"/>
        <w:ind w:left="425" w:hanging="425"/>
      </w:pPr>
      <w:r w:rsidRPr="008F7AE1">
        <w:t xml:space="preserve">Smith, C., Snir, J. and Grosslight, L. (1992). Using conceptual models to facilitate conceptual change: the case of weight-density differentiation. </w:t>
      </w:r>
      <w:r w:rsidRPr="008F7AE1">
        <w:rPr>
          <w:i/>
        </w:rPr>
        <w:t>Cognition and Instruction,</w:t>
      </w:r>
      <w:r w:rsidRPr="008F7AE1">
        <w:t xml:space="preserve"> 9(3)</w:t>
      </w:r>
      <w:r w:rsidRPr="008F7AE1">
        <w:rPr>
          <w:b/>
        </w:rPr>
        <w:t>,</w:t>
      </w:r>
      <w:r w:rsidRPr="008F7AE1">
        <w:t xml:space="preserve"> 221-283.</w:t>
      </w:r>
    </w:p>
    <w:p w:rsidR="008F7AE1" w:rsidRPr="008F7AE1" w:rsidRDefault="008F7AE1" w:rsidP="00994160">
      <w:pPr>
        <w:pStyle w:val="EndNoteBibliography"/>
        <w:spacing w:after="120"/>
        <w:ind w:left="425" w:hanging="425"/>
      </w:pPr>
      <w:r w:rsidRPr="008F7AE1">
        <w:t xml:space="preserve">Xu, L. and Clarke, D. (2012). Student difficulties in learning density: a distributed cognition perspective. </w:t>
      </w:r>
      <w:r w:rsidRPr="008F7AE1">
        <w:rPr>
          <w:i/>
        </w:rPr>
        <w:t>Research in Science Education,</w:t>
      </w:r>
      <w:r w:rsidRPr="008F7AE1">
        <w:t xml:space="preserve"> 42</w:t>
      </w:r>
      <w:r w:rsidRPr="008F7AE1">
        <w:rPr>
          <w:b/>
        </w:rPr>
        <w:t>,</w:t>
      </w:r>
      <w:r w:rsidRPr="008F7AE1">
        <w:t xml:space="preserve"> 769-789.</w:t>
      </w:r>
    </w:p>
    <w:p w:rsidR="00D43788" w:rsidRDefault="00FA0636" w:rsidP="00994160">
      <w:pPr>
        <w:spacing w:after="120" w:line="276" w:lineRule="auto"/>
        <w:ind w:left="425" w:hanging="425"/>
      </w:pPr>
      <w:r>
        <w:fldChar w:fldCharType="end"/>
      </w:r>
    </w:p>
    <w:sectPr w:rsidR="00D43788"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6B1" w:rsidRDefault="00DD46B1" w:rsidP="000B473B">
      <w:r>
        <w:separator/>
      </w:r>
    </w:p>
  </w:endnote>
  <w:endnote w:type="continuationSeparator" w:id="0">
    <w:p w:rsidR="00DD46B1" w:rsidRDefault="00DD46B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A7B12D3"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E1A80">
      <w:rPr>
        <w:noProof/>
      </w:rPr>
      <w:t>1</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6B1" w:rsidRDefault="00DD46B1" w:rsidP="000B473B">
      <w:r>
        <w:separator/>
      </w:r>
    </w:p>
  </w:footnote>
  <w:footnote w:type="continuationSeparator" w:id="0">
    <w:p w:rsidR="00DD46B1" w:rsidRDefault="00DD46B1"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36CB459"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54147"/>
    <w:rsid w:val="000026EA"/>
    <w:rsid w:val="00015578"/>
    <w:rsid w:val="000201CE"/>
    <w:rsid w:val="00024731"/>
    <w:rsid w:val="00026DEC"/>
    <w:rsid w:val="0003079C"/>
    <w:rsid w:val="000323DD"/>
    <w:rsid w:val="00036EBA"/>
    <w:rsid w:val="000505CA"/>
    <w:rsid w:val="00054147"/>
    <w:rsid w:val="0005709C"/>
    <w:rsid w:val="00064925"/>
    <w:rsid w:val="00072383"/>
    <w:rsid w:val="000769A0"/>
    <w:rsid w:val="000908EB"/>
    <w:rsid w:val="000947E2"/>
    <w:rsid w:val="00095E04"/>
    <w:rsid w:val="000A4D1F"/>
    <w:rsid w:val="000A5A93"/>
    <w:rsid w:val="000B2458"/>
    <w:rsid w:val="000B2D4E"/>
    <w:rsid w:val="000B473B"/>
    <w:rsid w:val="000C7974"/>
    <w:rsid w:val="000D0E89"/>
    <w:rsid w:val="000D2978"/>
    <w:rsid w:val="000E2689"/>
    <w:rsid w:val="000F24DA"/>
    <w:rsid w:val="000F5E42"/>
    <w:rsid w:val="00104331"/>
    <w:rsid w:val="00137415"/>
    <w:rsid w:val="00142613"/>
    <w:rsid w:val="00144DA7"/>
    <w:rsid w:val="00161D3F"/>
    <w:rsid w:val="00162CC6"/>
    <w:rsid w:val="001915D4"/>
    <w:rsid w:val="001A1FED"/>
    <w:rsid w:val="001A40E2"/>
    <w:rsid w:val="001B2603"/>
    <w:rsid w:val="001C396D"/>
    <w:rsid w:val="001C4004"/>
    <w:rsid w:val="001C4805"/>
    <w:rsid w:val="001F285E"/>
    <w:rsid w:val="001F2B4D"/>
    <w:rsid w:val="00204753"/>
    <w:rsid w:val="002178AC"/>
    <w:rsid w:val="00223388"/>
    <w:rsid w:val="0022442F"/>
    <w:rsid w:val="00224B69"/>
    <w:rsid w:val="0022547C"/>
    <w:rsid w:val="00233BFE"/>
    <w:rsid w:val="0025410A"/>
    <w:rsid w:val="0028012F"/>
    <w:rsid w:val="00280B49"/>
    <w:rsid w:val="00284253"/>
    <w:rsid w:val="00287876"/>
    <w:rsid w:val="0029248B"/>
    <w:rsid w:val="00292C53"/>
    <w:rsid w:val="00294E22"/>
    <w:rsid w:val="002A0EF2"/>
    <w:rsid w:val="002C194B"/>
    <w:rsid w:val="002C36ED"/>
    <w:rsid w:val="002C59BA"/>
    <w:rsid w:val="002C66FB"/>
    <w:rsid w:val="002D31E1"/>
    <w:rsid w:val="002F08DF"/>
    <w:rsid w:val="002F0EC0"/>
    <w:rsid w:val="002F3535"/>
    <w:rsid w:val="002F5E41"/>
    <w:rsid w:val="00301AA9"/>
    <w:rsid w:val="003063D8"/>
    <w:rsid w:val="003117F6"/>
    <w:rsid w:val="00317DF4"/>
    <w:rsid w:val="003312BE"/>
    <w:rsid w:val="00341D5A"/>
    <w:rsid w:val="003443CE"/>
    <w:rsid w:val="00346452"/>
    <w:rsid w:val="003505AA"/>
    <w:rsid w:val="003512FB"/>
    <w:rsid w:val="003533B8"/>
    <w:rsid w:val="00374EB3"/>
    <w:rsid w:val="003752BE"/>
    <w:rsid w:val="00377662"/>
    <w:rsid w:val="00384527"/>
    <w:rsid w:val="003A346A"/>
    <w:rsid w:val="003B13BC"/>
    <w:rsid w:val="003B2917"/>
    <w:rsid w:val="003B541B"/>
    <w:rsid w:val="003C7537"/>
    <w:rsid w:val="003D1A4B"/>
    <w:rsid w:val="003E2B2F"/>
    <w:rsid w:val="003E6046"/>
    <w:rsid w:val="003F16F9"/>
    <w:rsid w:val="00430C1F"/>
    <w:rsid w:val="004316AE"/>
    <w:rsid w:val="00437318"/>
    <w:rsid w:val="00440CC0"/>
    <w:rsid w:val="00442595"/>
    <w:rsid w:val="0045323E"/>
    <w:rsid w:val="00456773"/>
    <w:rsid w:val="00456836"/>
    <w:rsid w:val="0047091F"/>
    <w:rsid w:val="00473E00"/>
    <w:rsid w:val="00483936"/>
    <w:rsid w:val="00496C89"/>
    <w:rsid w:val="004B0EE1"/>
    <w:rsid w:val="004C6DBC"/>
    <w:rsid w:val="004D0D83"/>
    <w:rsid w:val="004E1DF1"/>
    <w:rsid w:val="004E2255"/>
    <w:rsid w:val="004E5592"/>
    <w:rsid w:val="004F3A89"/>
    <w:rsid w:val="0050055B"/>
    <w:rsid w:val="00503530"/>
    <w:rsid w:val="00524710"/>
    <w:rsid w:val="00535660"/>
    <w:rsid w:val="005445E2"/>
    <w:rsid w:val="005519D4"/>
    <w:rsid w:val="00555342"/>
    <w:rsid w:val="005560E2"/>
    <w:rsid w:val="00575039"/>
    <w:rsid w:val="005767D5"/>
    <w:rsid w:val="005A452E"/>
    <w:rsid w:val="005B4275"/>
    <w:rsid w:val="005D71A8"/>
    <w:rsid w:val="005E383D"/>
    <w:rsid w:val="005F115D"/>
    <w:rsid w:val="005F454A"/>
    <w:rsid w:val="00620AFF"/>
    <w:rsid w:val="00630970"/>
    <w:rsid w:val="006355D8"/>
    <w:rsid w:val="00642ECD"/>
    <w:rsid w:val="0065024C"/>
    <w:rsid w:val="006502A0"/>
    <w:rsid w:val="00652431"/>
    <w:rsid w:val="00667983"/>
    <w:rsid w:val="006772F5"/>
    <w:rsid w:val="0069512C"/>
    <w:rsid w:val="006A01DE"/>
    <w:rsid w:val="006B0615"/>
    <w:rsid w:val="006B2B20"/>
    <w:rsid w:val="006C2DD9"/>
    <w:rsid w:val="006D166B"/>
    <w:rsid w:val="006E616D"/>
    <w:rsid w:val="006E73AB"/>
    <w:rsid w:val="006F01D8"/>
    <w:rsid w:val="006F3279"/>
    <w:rsid w:val="00704AEE"/>
    <w:rsid w:val="007100E4"/>
    <w:rsid w:val="00722F9A"/>
    <w:rsid w:val="007532FE"/>
    <w:rsid w:val="00754539"/>
    <w:rsid w:val="00757297"/>
    <w:rsid w:val="00760E08"/>
    <w:rsid w:val="00761D32"/>
    <w:rsid w:val="00784211"/>
    <w:rsid w:val="00793235"/>
    <w:rsid w:val="00795CB4"/>
    <w:rsid w:val="007A3C86"/>
    <w:rsid w:val="007A683E"/>
    <w:rsid w:val="007A748B"/>
    <w:rsid w:val="007B6B22"/>
    <w:rsid w:val="007C3B28"/>
    <w:rsid w:val="007C5937"/>
    <w:rsid w:val="007D1D65"/>
    <w:rsid w:val="007E0A9E"/>
    <w:rsid w:val="007E5309"/>
    <w:rsid w:val="007F0DC5"/>
    <w:rsid w:val="00800DE1"/>
    <w:rsid w:val="00802843"/>
    <w:rsid w:val="00813F47"/>
    <w:rsid w:val="00821188"/>
    <w:rsid w:val="008278DF"/>
    <w:rsid w:val="008450D6"/>
    <w:rsid w:val="008544D9"/>
    <w:rsid w:val="0085503E"/>
    <w:rsid w:val="00856FCA"/>
    <w:rsid w:val="00864EB0"/>
    <w:rsid w:val="00872EB4"/>
    <w:rsid w:val="00873B8C"/>
    <w:rsid w:val="0088070A"/>
    <w:rsid w:val="00896DF9"/>
    <w:rsid w:val="008A405F"/>
    <w:rsid w:val="008A4BCA"/>
    <w:rsid w:val="008C2AA7"/>
    <w:rsid w:val="008C7F34"/>
    <w:rsid w:val="008E032D"/>
    <w:rsid w:val="008E13E0"/>
    <w:rsid w:val="008E1A80"/>
    <w:rsid w:val="008E580C"/>
    <w:rsid w:val="008F7AE1"/>
    <w:rsid w:val="0090047A"/>
    <w:rsid w:val="00913AD8"/>
    <w:rsid w:val="00917940"/>
    <w:rsid w:val="00921D09"/>
    <w:rsid w:val="009235CB"/>
    <w:rsid w:val="00925026"/>
    <w:rsid w:val="00931264"/>
    <w:rsid w:val="00942A4B"/>
    <w:rsid w:val="00947E4B"/>
    <w:rsid w:val="00961D59"/>
    <w:rsid w:val="00994160"/>
    <w:rsid w:val="009B2D55"/>
    <w:rsid w:val="009C0343"/>
    <w:rsid w:val="009C121E"/>
    <w:rsid w:val="009D762B"/>
    <w:rsid w:val="009E0D11"/>
    <w:rsid w:val="009E2A9B"/>
    <w:rsid w:val="00A21543"/>
    <w:rsid w:val="00A24A16"/>
    <w:rsid w:val="00A314B6"/>
    <w:rsid w:val="00A37D14"/>
    <w:rsid w:val="00A4529A"/>
    <w:rsid w:val="00A56CFA"/>
    <w:rsid w:val="00A6168B"/>
    <w:rsid w:val="00A62028"/>
    <w:rsid w:val="00AA6236"/>
    <w:rsid w:val="00AA66F3"/>
    <w:rsid w:val="00AB6385"/>
    <w:rsid w:val="00AB6AE7"/>
    <w:rsid w:val="00AB7B26"/>
    <w:rsid w:val="00AB7E6B"/>
    <w:rsid w:val="00AC0499"/>
    <w:rsid w:val="00AD21F5"/>
    <w:rsid w:val="00AD5043"/>
    <w:rsid w:val="00AE3956"/>
    <w:rsid w:val="00AE56B5"/>
    <w:rsid w:val="00AE5FB7"/>
    <w:rsid w:val="00AF0E74"/>
    <w:rsid w:val="00AF182E"/>
    <w:rsid w:val="00AF23A2"/>
    <w:rsid w:val="00AF6628"/>
    <w:rsid w:val="00AF7DB9"/>
    <w:rsid w:val="00B06225"/>
    <w:rsid w:val="00B23C7A"/>
    <w:rsid w:val="00B346B5"/>
    <w:rsid w:val="00B37C53"/>
    <w:rsid w:val="00B42E62"/>
    <w:rsid w:val="00B46FF9"/>
    <w:rsid w:val="00B54DD5"/>
    <w:rsid w:val="00B6703E"/>
    <w:rsid w:val="00B75483"/>
    <w:rsid w:val="00B81360"/>
    <w:rsid w:val="00BA5A78"/>
    <w:rsid w:val="00BA7952"/>
    <w:rsid w:val="00BB3EA6"/>
    <w:rsid w:val="00BC37BB"/>
    <w:rsid w:val="00BD3160"/>
    <w:rsid w:val="00BE27BE"/>
    <w:rsid w:val="00BF0BBF"/>
    <w:rsid w:val="00BF6C8A"/>
    <w:rsid w:val="00C0449E"/>
    <w:rsid w:val="00C05571"/>
    <w:rsid w:val="00C06521"/>
    <w:rsid w:val="00C15989"/>
    <w:rsid w:val="00C246CE"/>
    <w:rsid w:val="00C46351"/>
    <w:rsid w:val="00C52E77"/>
    <w:rsid w:val="00C5553B"/>
    <w:rsid w:val="00C57FA2"/>
    <w:rsid w:val="00C63844"/>
    <w:rsid w:val="00C72918"/>
    <w:rsid w:val="00C72B3B"/>
    <w:rsid w:val="00C8765D"/>
    <w:rsid w:val="00C9265A"/>
    <w:rsid w:val="00CC2E4D"/>
    <w:rsid w:val="00CC78A5"/>
    <w:rsid w:val="00CC7B16"/>
    <w:rsid w:val="00CD2673"/>
    <w:rsid w:val="00CE15FE"/>
    <w:rsid w:val="00CE163F"/>
    <w:rsid w:val="00CE7273"/>
    <w:rsid w:val="00D02E15"/>
    <w:rsid w:val="00D14F44"/>
    <w:rsid w:val="00D239A3"/>
    <w:rsid w:val="00D25BA7"/>
    <w:rsid w:val="00D278E8"/>
    <w:rsid w:val="00D358F2"/>
    <w:rsid w:val="00D40D1E"/>
    <w:rsid w:val="00D421C8"/>
    <w:rsid w:val="00D43788"/>
    <w:rsid w:val="00D44604"/>
    <w:rsid w:val="00D46019"/>
    <w:rsid w:val="00D479B3"/>
    <w:rsid w:val="00D51657"/>
    <w:rsid w:val="00D52283"/>
    <w:rsid w:val="00D524E5"/>
    <w:rsid w:val="00D53B6E"/>
    <w:rsid w:val="00D60D9B"/>
    <w:rsid w:val="00D72FEF"/>
    <w:rsid w:val="00D755FA"/>
    <w:rsid w:val="00D77DC4"/>
    <w:rsid w:val="00D940FB"/>
    <w:rsid w:val="00DA68CF"/>
    <w:rsid w:val="00DB7449"/>
    <w:rsid w:val="00DB7471"/>
    <w:rsid w:val="00DC1F20"/>
    <w:rsid w:val="00DC4A4E"/>
    <w:rsid w:val="00DD1874"/>
    <w:rsid w:val="00DD46B1"/>
    <w:rsid w:val="00DD63BD"/>
    <w:rsid w:val="00DF7981"/>
    <w:rsid w:val="00E1472D"/>
    <w:rsid w:val="00E172C6"/>
    <w:rsid w:val="00E22B55"/>
    <w:rsid w:val="00E24309"/>
    <w:rsid w:val="00E31116"/>
    <w:rsid w:val="00E5354B"/>
    <w:rsid w:val="00E53D82"/>
    <w:rsid w:val="00E54437"/>
    <w:rsid w:val="00E65FFA"/>
    <w:rsid w:val="00E70A7A"/>
    <w:rsid w:val="00E753A9"/>
    <w:rsid w:val="00E75DFB"/>
    <w:rsid w:val="00E85A74"/>
    <w:rsid w:val="00E90F1D"/>
    <w:rsid w:val="00EB0009"/>
    <w:rsid w:val="00EC47E5"/>
    <w:rsid w:val="00EE6B97"/>
    <w:rsid w:val="00F12C3B"/>
    <w:rsid w:val="00F21E41"/>
    <w:rsid w:val="00F26884"/>
    <w:rsid w:val="00F34FD0"/>
    <w:rsid w:val="00F40370"/>
    <w:rsid w:val="00F54A70"/>
    <w:rsid w:val="00F604E7"/>
    <w:rsid w:val="00F66FF6"/>
    <w:rsid w:val="00F74824"/>
    <w:rsid w:val="00F75F0D"/>
    <w:rsid w:val="00F82443"/>
    <w:rsid w:val="00F8355F"/>
    <w:rsid w:val="00F90D64"/>
    <w:rsid w:val="00F95F3E"/>
    <w:rsid w:val="00FA0636"/>
    <w:rsid w:val="00FA14FE"/>
    <w:rsid w:val="00FA2663"/>
    <w:rsid w:val="00FA3196"/>
    <w:rsid w:val="00FB1FF6"/>
    <w:rsid w:val="00FB3C94"/>
    <w:rsid w:val="00FB4B53"/>
    <w:rsid w:val="00FC3779"/>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customStyle="1" w:styleId="Default">
    <w:name w:val="Default"/>
    <w:rsid w:val="00054147"/>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EndNoteBibliographyTitle">
    <w:name w:val="EndNote Bibliography Title"/>
    <w:basedOn w:val="Normal"/>
    <w:link w:val="EndNoteBibliographyTitleChar"/>
    <w:rsid w:val="00FA063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A0636"/>
    <w:rPr>
      <w:rFonts w:ascii="Calibri" w:hAnsi="Calibri" w:cs="Calibri"/>
      <w:noProof/>
      <w:lang w:val="en-US"/>
    </w:rPr>
  </w:style>
  <w:style w:type="paragraph" w:customStyle="1" w:styleId="EndNoteBibliography">
    <w:name w:val="EndNote Bibliography"/>
    <w:basedOn w:val="Normal"/>
    <w:link w:val="EndNoteBibliographyChar"/>
    <w:rsid w:val="00FA0636"/>
    <w:rPr>
      <w:rFonts w:ascii="Calibri" w:hAnsi="Calibri" w:cs="Calibri"/>
      <w:noProof/>
      <w:lang w:val="en-US"/>
    </w:rPr>
  </w:style>
  <w:style w:type="character" w:customStyle="1" w:styleId="EndNoteBibliographyChar">
    <w:name w:val="EndNote Bibliography Char"/>
    <w:basedOn w:val="DefaultParagraphFont"/>
    <w:link w:val="EndNoteBibliography"/>
    <w:rsid w:val="00FA0636"/>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customStyle="1" w:styleId="Default">
    <w:name w:val="Default"/>
    <w:rsid w:val="00054147"/>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EndNoteBibliographyTitle">
    <w:name w:val="EndNote Bibliography Title"/>
    <w:basedOn w:val="Normal"/>
    <w:link w:val="EndNoteBibliographyTitleChar"/>
    <w:rsid w:val="00FA063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A0636"/>
    <w:rPr>
      <w:rFonts w:ascii="Calibri" w:hAnsi="Calibri" w:cs="Calibri"/>
      <w:noProof/>
      <w:lang w:val="en-US"/>
    </w:rPr>
  </w:style>
  <w:style w:type="paragraph" w:customStyle="1" w:styleId="EndNoteBibliography">
    <w:name w:val="EndNote Bibliography"/>
    <w:basedOn w:val="Normal"/>
    <w:link w:val="EndNoteBibliographyChar"/>
    <w:rsid w:val="00FA0636"/>
    <w:rPr>
      <w:rFonts w:ascii="Calibri" w:hAnsi="Calibri" w:cs="Calibri"/>
      <w:noProof/>
      <w:lang w:val="en-US"/>
    </w:rPr>
  </w:style>
  <w:style w:type="character" w:customStyle="1" w:styleId="EndNoteBibliographyChar">
    <w:name w:val="EndNote Bibliography Char"/>
    <w:basedOn w:val="DefaultParagraphFont"/>
    <w:link w:val="EndNoteBibliography"/>
    <w:rsid w:val="00FA063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tmp"/><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1520</TotalTime>
  <Pages>7</Pages>
  <Words>3779</Words>
  <Characters>21543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82</cp:revision>
  <cp:lastPrinted>2018-01-23T10:03:00Z</cp:lastPrinted>
  <dcterms:created xsi:type="dcterms:W3CDTF">2020-08-12T12:51:00Z</dcterms:created>
  <dcterms:modified xsi:type="dcterms:W3CDTF">2021-02-11T11:49:00Z</dcterms:modified>
</cp:coreProperties>
</file>